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6698" w14:textId="658F3417" w:rsidR="00CF78D9" w:rsidRDefault="00CF78D9" w:rsidP="000860DA">
      <w:pPr>
        <w:rPr>
          <w:b/>
          <w:bCs/>
          <w:sz w:val="22"/>
          <w:szCs w:val="22"/>
        </w:rPr>
      </w:pPr>
    </w:p>
    <w:p w14:paraId="41CE48FF" w14:textId="77777777" w:rsidR="00153C66" w:rsidRDefault="00153C66" w:rsidP="000860DA">
      <w:pPr>
        <w:rPr>
          <w:b/>
        </w:rPr>
      </w:pPr>
    </w:p>
    <w:p w14:paraId="3F0FBF05" w14:textId="7A0B8355"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E04A3E">
        <w:rPr>
          <w:b/>
          <w:sz w:val="28"/>
          <w:szCs w:val="28"/>
        </w:rPr>
        <w:t>0</w:t>
      </w:r>
      <w:r w:rsidR="00153C66">
        <w:rPr>
          <w:b/>
          <w:sz w:val="28"/>
          <w:szCs w:val="28"/>
        </w:rPr>
        <w:t>4</w:t>
      </w:r>
    </w:p>
    <w:p w14:paraId="5A1FE893" w14:textId="77777777"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14:paraId="152A2D5E" w14:textId="77777777"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14:paraId="0E1B1A16" w14:textId="77777777" w:rsidR="00C33848" w:rsidRPr="005A3726" w:rsidRDefault="00C33848" w:rsidP="00C33848">
      <w:pPr>
        <w:jc w:val="center"/>
        <w:rPr>
          <w:b/>
          <w:bCs/>
          <w:sz w:val="28"/>
          <w:szCs w:val="28"/>
        </w:rPr>
      </w:pPr>
      <w:r w:rsidRPr="005A3726">
        <w:rPr>
          <w:b/>
          <w:bCs/>
          <w:sz w:val="28"/>
          <w:szCs w:val="28"/>
        </w:rPr>
        <w:t>рыночных финансовых инструментов</w:t>
      </w:r>
    </w:p>
    <w:p w14:paraId="40C4748A" w14:textId="57109430" w:rsidR="00C33848" w:rsidRPr="005A3726" w:rsidRDefault="00C33848" w:rsidP="00BB0D76">
      <w:pPr>
        <w:jc w:val="center"/>
        <w:rPr>
          <w:b/>
          <w:bCs/>
          <w:sz w:val="28"/>
          <w:szCs w:val="28"/>
        </w:rPr>
      </w:pPr>
      <w:r w:rsidRPr="005A3726">
        <w:rPr>
          <w:b/>
          <w:bCs/>
          <w:sz w:val="28"/>
          <w:szCs w:val="28"/>
        </w:rPr>
        <w:t>«</w:t>
      </w:r>
      <w:r w:rsidR="009917CB" w:rsidRPr="009917CB">
        <w:rPr>
          <w:b/>
          <w:bCs/>
          <w:sz w:val="28"/>
          <w:szCs w:val="28"/>
        </w:rPr>
        <w:t xml:space="preserve">А-Капитал </w:t>
      </w:r>
      <w:r w:rsidR="00C331F6" w:rsidRPr="00C331F6">
        <w:rPr>
          <w:b/>
          <w:bCs/>
          <w:sz w:val="28"/>
          <w:szCs w:val="28"/>
        </w:rPr>
        <w:t>Облигации Рантье</w:t>
      </w:r>
      <w:r w:rsidRPr="005A3726">
        <w:rPr>
          <w:b/>
          <w:bCs/>
          <w:sz w:val="28"/>
          <w:szCs w:val="28"/>
        </w:rPr>
        <w:t>»</w:t>
      </w:r>
    </w:p>
    <w:p w14:paraId="4BB7B4F6" w14:textId="4068B237" w:rsidR="00C33848" w:rsidRPr="005A3726" w:rsidRDefault="00C33848" w:rsidP="00C331F6">
      <w:pPr>
        <w:spacing w:after="120"/>
        <w:jc w:val="center"/>
        <w:rPr>
          <w:bCs/>
        </w:rPr>
      </w:pPr>
      <w:r w:rsidRPr="005A3726">
        <w:rPr>
          <w:bCs/>
        </w:rPr>
        <w:t>(</w:t>
      </w:r>
      <w:r w:rsidR="00C331F6" w:rsidRPr="00C331F6">
        <w:rPr>
          <w:bCs/>
        </w:rPr>
        <w:t>Правила доверительного управления фондом зарегистрированы Банком России за № 5739 от 26.10.2023</w:t>
      </w:r>
      <w:r w:rsidRPr="005A3726">
        <w:rPr>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tblGrid>
      <w:tr w:rsidR="0065640B" w:rsidRPr="0039614A" w14:paraId="451EB7CC" w14:textId="77777777" w:rsidTr="004F2520">
        <w:tc>
          <w:tcPr>
            <w:tcW w:w="4959" w:type="dxa"/>
          </w:tcPr>
          <w:p w14:paraId="61A6319C" w14:textId="77777777" w:rsidR="0065640B" w:rsidRPr="0039614A" w:rsidRDefault="0065640B" w:rsidP="004F2520">
            <w:pPr>
              <w:jc w:val="center"/>
            </w:pPr>
            <w:r w:rsidRPr="0039614A">
              <w:rPr>
                <w:sz w:val="22"/>
                <w:szCs w:val="22"/>
              </w:rPr>
              <w:t>СТАРАЯ РЕДАКЦИЯ</w:t>
            </w:r>
          </w:p>
        </w:tc>
        <w:tc>
          <w:tcPr>
            <w:tcW w:w="4959" w:type="dxa"/>
          </w:tcPr>
          <w:p w14:paraId="3FCA0B42" w14:textId="77777777" w:rsidR="0065640B" w:rsidRPr="0039614A" w:rsidRDefault="0065640B" w:rsidP="004F2520">
            <w:pPr>
              <w:jc w:val="center"/>
            </w:pPr>
            <w:r w:rsidRPr="0039614A">
              <w:rPr>
                <w:sz w:val="22"/>
                <w:szCs w:val="22"/>
              </w:rPr>
              <w:t>НОВАЯ РЕДАКЦИЯ</w:t>
            </w:r>
          </w:p>
        </w:tc>
      </w:tr>
      <w:tr w:rsidR="004336D1" w:rsidRPr="0039614A" w14:paraId="42943619" w14:textId="77777777" w:rsidTr="00135182">
        <w:trPr>
          <w:trHeight w:val="1127"/>
        </w:trPr>
        <w:tc>
          <w:tcPr>
            <w:tcW w:w="4959" w:type="dxa"/>
          </w:tcPr>
          <w:p w14:paraId="45B9A680" w14:textId="67357D00" w:rsidR="00153C66" w:rsidRDefault="00153C66" w:rsidP="00153C66">
            <w:pPr>
              <w:tabs>
                <w:tab w:val="left" w:pos="993"/>
              </w:tabs>
              <w:ind w:firstLine="567"/>
              <w:jc w:val="both"/>
              <w:rPr>
                <w:sz w:val="22"/>
                <w:szCs w:val="22"/>
              </w:rPr>
            </w:pPr>
            <w:r>
              <w:rPr>
                <w:sz w:val="22"/>
                <w:szCs w:val="22"/>
              </w:rPr>
              <w:t>Подпункт 1 пункта 24 Правил</w:t>
            </w:r>
          </w:p>
          <w:p w14:paraId="60BE292B" w14:textId="246159AA" w:rsidR="00153C66" w:rsidRPr="008F7EC5" w:rsidRDefault="00153C66" w:rsidP="00153C66">
            <w:pPr>
              <w:tabs>
                <w:tab w:val="left" w:pos="993"/>
              </w:tabs>
              <w:ind w:firstLine="567"/>
              <w:jc w:val="both"/>
              <w:rPr>
                <w:sz w:val="22"/>
                <w:szCs w:val="22"/>
              </w:rPr>
            </w:pPr>
            <w:r w:rsidRPr="008F7EC5">
              <w:rPr>
                <w:sz w:val="22"/>
                <w:szCs w:val="22"/>
              </w:rPr>
              <w:t>1) Оценочная стоимость ценных бумаг одного юридического лица, денежные средства в рублях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w:t>
            </w:r>
            <w:r>
              <w:rPr>
                <w:sz w:val="22"/>
                <w:szCs w:val="22"/>
              </w:rPr>
              <w:t xml:space="preserve"> </w:t>
            </w:r>
            <w:r w:rsidRPr="008F7EC5">
              <w:rPr>
                <w:sz w:val="22"/>
                <w:szCs w:val="22"/>
              </w:rPr>
              <w:t xml:space="preserve">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7A3E4E21" w14:textId="77777777" w:rsidR="00153C66" w:rsidRPr="008F7EC5" w:rsidRDefault="00153C66" w:rsidP="00153C66">
            <w:pPr>
              <w:tabs>
                <w:tab w:val="left" w:pos="993"/>
              </w:tabs>
              <w:ind w:firstLine="567"/>
              <w:jc w:val="both"/>
              <w:rPr>
                <w:sz w:val="22"/>
                <w:szCs w:val="22"/>
              </w:rPr>
            </w:pPr>
            <w:r w:rsidRPr="008F7EC5">
              <w:rPr>
                <w:sz w:val="22"/>
                <w:szCs w:val="22"/>
              </w:rPr>
              <w:t xml:space="preserve">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 </w:t>
            </w:r>
          </w:p>
          <w:p w14:paraId="43483D53" w14:textId="77777777" w:rsidR="00153C66" w:rsidRPr="008F7EC5" w:rsidRDefault="00153C66" w:rsidP="00153C66">
            <w:pPr>
              <w:autoSpaceDE w:val="0"/>
              <w:autoSpaceDN w:val="0"/>
              <w:adjustRightInd w:val="0"/>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w:t>
            </w:r>
            <w:r>
              <w:rPr>
                <w:sz w:val="22"/>
                <w:szCs w:val="22"/>
              </w:rPr>
              <w:t xml:space="preserve"> </w:t>
            </w:r>
            <w:r w:rsidRPr="008F7EC5">
              <w:rPr>
                <w:sz w:val="22"/>
                <w:szCs w:val="22"/>
              </w:rPr>
              <w:t xml:space="preserve">инвестиционных паев фонда </w:t>
            </w:r>
            <w:r w:rsidRPr="00B65742">
              <w:rPr>
                <w:sz w:val="22"/>
                <w:szCs w:val="22"/>
              </w:rPr>
              <w:t xml:space="preserve">или в связи с выплатой дохода от доверительного управления имуществом, составляющим фонд, </w:t>
            </w:r>
            <w:r w:rsidRPr="008F7EC5">
              <w:rPr>
                <w:sz w:val="22"/>
                <w:szCs w:val="22"/>
              </w:rPr>
              <w:t xml:space="preserve"> на момент расчета ограничения</w:t>
            </w:r>
            <w:r>
              <w:rPr>
                <w:sz w:val="22"/>
                <w:szCs w:val="22"/>
              </w:rPr>
              <w:t>.</w:t>
            </w:r>
            <w:r w:rsidRPr="008F7EC5">
              <w:rPr>
                <w:sz w:val="22"/>
                <w:szCs w:val="22"/>
              </w:rPr>
              <w:t xml:space="preserve">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w:t>
            </w:r>
            <w:r>
              <w:rPr>
                <w:sz w:val="22"/>
                <w:szCs w:val="22"/>
              </w:rPr>
              <w:t xml:space="preserve"> </w:t>
            </w:r>
            <w:r w:rsidRPr="008F7EC5">
              <w:rPr>
                <w:sz w:val="22"/>
                <w:szCs w:val="22"/>
              </w:rPr>
              <w:t xml:space="preserve">инвестиционных паев </w:t>
            </w:r>
            <w:r w:rsidRPr="00B65742">
              <w:rPr>
                <w:sz w:val="22"/>
                <w:szCs w:val="22"/>
              </w:rPr>
              <w:t xml:space="preserve">или в связи с выплатой </w:t>
            </w:r>
            <w:r w:rsidRPr="00B65742">
              <w:rPr>
                <w:sz w:val="22"/>
                <w:szCs w:val="22"/>
              </w:rPr>
              <w:lastRenderedPageBreak/>
              <w:t>дохода от доверительного управления имуществом, составляющим фонд,</w:t>
            </w:r>
            <w:r w:rsidRPr="008F7EC5">
              <w:rPr>
                <w:sz w:val="22"/>
                <w:szCs w:val="22"/>
              </w:rPr>
              <w:t xml:space="preserve"> на момент расчета ограничения.</w:t>
            </w:r>
          </w:p>
          <w:p w14:paraId="45658460" w14:textId="77777777" w:rsidR="00153C66" w:rsidRPr="008F7EC5" w:rsidRDefault="00153C66" w:rsidP="00153C66">
            <w:pPr>
              <w:tabs>
                <w:tab w:val="left" w:pos="993"/>
              </w:tabs>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r>
              <w:rPr>
                <w:sz w:val="22"/>
                <w:szCs w:val="22"/>
              </w:rPr>
              <w:t xml:space="preserve"> </w:t>
            </w:r>
            <w:r w:rsidRPr="008F7EC5">
              <w:rPr>
                <w:sz w:val="22"/>
                <w:szCs w:val="22"/>
              </w:rPr>
              <w:t>инвестиционных паев, в течение не более 2 рабочих дней с даты указанного включения.</w:t>
            </w:r>
          </w:p>
          <w:p w14:paraId="62942DF1" w14:textId="77777777" w:rsidR="00153C66" w:rsidRPr="008F7EC5" w:rsidRDefault="00153C66" w:rsidP="00153C66">
            <w:pPr>
              <w:tabs>
                <w:tab w:val="left" w:pos="993"/>
              </w:tabs>
              <w:ind w:firstLine="567"/>
              <w:jc w:val="both"/>
              <w:rPr>
                <w:sz w:val="22"/>
                <w:szCs w:val="22"/>
              </w:rPr>
            </w:pPr>
            <w:r w:rsidRPr="008F7EC5">
              <w:rPr>
                <w:sz w:val="22"/>
                <w:szCs w:val="22"/>
              </w:rPr>
              <w:t>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9B352EF" w14:textId="77777777" w:rsidR="00153C66" w:rsidRPr="008F7EC5" w:rsidRDefault="00153C66" w:rsidP="00153C66">
            <w:pPr>
              <w:tabs>
                <w:tab w:val="left" w:pos="993"/>
              </w:tabs>
              <w:ind w:firstLine="567"/>
              <w:jc w:val="both"/>
              <w:rPr>
                <w:sz w:val="22"/>
                <w:szCs w:val="22"/>
              </w:rPr>
            </w:pPr>
            <w:r w:rsidRPr="008F7EC5">
              <w:rPr>
                <w:sz w:val="22"/>
                <w:szCs w:val="22"/>
              </w:rPr>
              <w:t xml:space="preserve">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Pr>
                <w:sz w:val="22"/>
                <w:szCs w:val="22"/>
              </w:rPr>
              <w:t xml:space="preserve">пятом </w:t>
            </w:r>
            <w:r w:rsidRPr="008F7EC5">
              <w:rPr>
                <w:sz w:val="22"/>
                <w:szCs w:val="22"/>
              </w:rPr>
              <w:t>абзаце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1F81999B" w14:textId="77777777" w:rsidR="00153C66" w:rsidRPr="008F7EC5" w:rsidRDefault="00153C66" w:rsidP="00153C66">
            <w:pPr>
              <w:tabs>
                <w:tab w:val="left" w:pos="993"/>
              </w:tabs>
              <w:ind w:firstLine="567"/>
              <w:jc w:val="both"/>
              <w:rPr>
                <w:sz w:val="22"/>
                <w:szCs w:val="22"/>
              </w:rPr>
            </w:pPr>
            <w:r w:rsidRPr="008F7EC5">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49EE8FAC" w14:textId="77777777" w:rsidR="00153C66" w:rsidRPr="008772C8" w:rsidRDefault="00153C66" w:rsidP="00153C66">
            <w:pPr>
              <w:autoSpaceDE w:val="0"/>
              <w:autoSpaceDN w:val="0"/>
              <w:adjustRightInd w:val="0"/>
              <w:ind w:firstLine="567"/>
              <w:jc w:val="both"/>
              <w:rPr>
                <w:sz w:val="22"/>
                <w:szCs w:val="22"/>
                <w:highlight w:val="yellow"/>
              </w:rPr>
            </w:pPr>
            <w:r w:rsidRPr="008F7EC5">
              <w:rPr>
                <w:sz w:val="22"/>
                <w:szCs w:val="22"/>
              </w:rPr>
              <w:t xml:space="preserve">Для целей абзаца </w:t>
            </w:r>
            <w:r>
              <w:rPr>
                <w:sz w:val="22"/>
                <w:szCs w:val="22"/>
              </w:rPr>
              <w:t>пятого</w:t>
            </w:r>
            <w:r w:rsidRPr="008F7EC5">
              <w:rPr>
                <w:sz w:val="22"/>
                <w:szCs w:val="22"/>
              </w:rPr>
              <w:t xml:space="preserve"> и </w:t>
            </w:r>
            <w:r>
              <w:rPr>
                <w:sz w:val="22"/>
                <w:szCs w:val="22"/>
              </w:rPr>
              <w:t>шестого</w:t>
            </w:r>
            <w:r w:rsidRPr="008F7EC5">
              <w:rPr>
                <w:sz w:val="22"/>
                <w:szCs w:val="22"/>
              </w:rPr>
              <w:t xml:space="preserve"> настоящего подпункта не </w:t>
            </w:r>
            <w:r w:rsidRPr="008772C8">
              <w:rPr>
                <w:sz w:val="22"/>
                <w:szCs w:val="22"/>
              </w:rPr>
              <w:t xml:space="preserve">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w:t>
            </w:r>
            <w:r w:rsidRPr="008772C8">
              <w:rPr>
                <w:sz w:val="22"/>
                <w:szCs w:val="22"/>
              </w:rPr>
              <w:lastRenderedPageBreak/>
              <w:t>приобретенными ценными бумагами, за исключением их</w:t>
            </w:r>
            <w:r w:rsidRPr="008F7EC5">
              <w:rPr>
                <w:sz w:val="22"/>
                <w:szCs w:val="22"/>
              </w:rPr>
              <w:t xml:space="preserve"> возврата по второй части такого договора репо</w:t>
            </w:r>
            <w:r>
              <w:rPr>
                <w:sz w:val="22"/>
                <w:szCs w:val="22"/>
              </w:rPr>
              <w:t>.</w:t>
            </w:r>
          </w:p>
          <w:p w14:paraId="600A9472" w14:textId="77777777" w:rsidR="00153C66" w:rsidRPr="008F7EC5" w:rsidRDefault="00153C66" w:rsidP="00153C66">
            <w:pPr>
              <w:tabs>
                <w:tab w:val="left" w:pos="993"/>
              </w:tabs>
              <w:ind w:firstLine="567"/>
              <w:jc w:val="both"/>
              <w:rPr>
                <w:sz w:val="22"/>
                <w:szCs w:val="22"/>
              </w:rPr>
            </w:pPr>
            <w:r w:rsidRPr="008F7EC5">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467DD843" w14:textId="10EDC6E3" w:rsidR="004336D1" w:rsidRPr="004336D1" w:rsidRDefault="00153C66" w:rsidP="00153C66">
            <w:pPr>
              <w:ind w:firstLine="567"/>
              <w:jc w:val="both"/>
            </w:pPr>
            <w:r w:rsidRPr="008F7EC5">
              <w:rPr>
                <w:sz w:val="22"/>
                <w:szCs w:val="22"/>
              </w:rPr>
              <w:t>При определении структуры активов фонда учитываются активы, принятые к расчету стоимости чистых активов фонда</w:t>
            </w:r>
            <w:r>
              <w:rPr>
                <w:sz w:val="22"/>
                <w:szCs w:val="22"/>
              </w:rPr>
              <w:t>.</w:t>
            </w:r>
            <w:r w:rsidRPr="004336D1">
              <w:t xml:space="preserve"> </w:t>
            </w:r>
          </w:p>
        </w:tc>
        <w:tc>
          <w:tcPr>
            <w:tcW w:w="4959" w:type="dxa"/>
          </w:tcPr>
          <w:p w14:paraId="1DE32AAA" w14:textId="4972399F" w:rsidR="00153C66" w:rsidRDefault="00153C66" w:rsidP="00153C66">
            <w:pPr>
              <w:tabs>
                <w:tab w:val="left" w:pos="993"/>
              </w:tabs>
              <w:ind w:firstLine="567"/>
              <w:jc w:val="both"/>
              <w:rPr>
                <w:sz w:val="22"/>
                <w:szCs w:val="22"/>
              </w:rPr>
            </w:pPr>
            <w:r>
              <w:rPr>
                <w:sz w:val="22"/>
                <w:szCs w:val="22"/>
              </w:rPr>
              <w:lastRenderedPageBreak/>
              <w:t>Подпункт 1 пункта 24 Правил</w:t>
            </w:r>
          </w:p>
          <w:p w14:paraId="659AAD38" w14:textId="551B92FF" w:rsidR="00153C66" w:rsidRPr="008F7EC5" w:rsidRDefault="00153C66" w:rsidP="00153C66">
            <w:pPr>
              <w:tabs>
                <w:tab w:val="left" w:pos="993"/>
              </w:tabs>
              <w:ind w:firstLine="567"/>
              <w:jc w:val="both"/>
              <w:rPr>
                <w:sz w:val="22"/>
                <w:szCs w:val="22"/>
              </w:rPr>
            </w:pPr>
            <w:r w:rsidRPr="002B0BEE">
              <w:rPr>
                <w:sz w:val="22"/>
                <w:szCs w:val="22"/>
              </w:rPr>
              <w:t>1) Оценочная стоимость ценных бумаг одного юридического лица, денежные средства в рублях на счетах и во вкладах (депозитах) в таком юридическом лице (если юридическое лицо является кредитной организацией</w:t>
            </w:r>
            <w:r w:rsidRPr="008F7EC5">
              <w:rPr>
                <w:sz w:val="22"/>
                <w:szCs w:val="22"/>
              </w:rPr>
              <w:t>), права требования к такому юридическому лицу в совокупности не должны превышать</w:t>
            </w:r>
            <w:r>
              <w:rPr>
                <w:sz w:val="22"/>
                <w:szCs w:val="22"/>
              </w:rPr>
              <w:t xml:space="preserve"> </w:t>
            </w:r>
            <w:r w:rsidRPr="008F7EC5">
              <w:rPr>
                <w:sz w:val="22"/>
                <w:szCs w:val="22"/>
              </w:rPr>
              <w:t xml:space="preserve">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79F42EF8" w14:textId="77777777" w:rsidR="00153C66" w:rsidRPr="008F7EC5" w:rsidRDefault="00153C66" w:rsidP="00153C66">
            <w:pPr>
              <w:tabs>
                <w:tab w:val="left" w:pos="993"/>
              </w:tabs>
              <w:ind w:firstLine="567"/>
              <w:jc w:val="both"/>
              <w:rPr>
                <w:sz w:val="22"/>
                <w:szCs w:val="22"/>
              </w:rPr>
            </w:pPr>
            <w:r w:rsidRPr="008F7EC5">
              <w:rPr>
                <w:sz w:val="22"/>
                <w:szCs w:val="22"/>
              </w:rPr>
              <w:t xml:space="preserve">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 </w:t>
            </w:r>
          </w:p>
          <w:p w14:paraId="27BADEB9" w14:textId="77777777" w:rsidR="00153C66" w:rsidRPr="008F7EC5" w:rsidRDefault="00153C66" w:rsidP="00153C66">
            <w:pPr>
              <w:autoSpaceDE w:val="0"/>
              <w:autoSpaceDN w:val="0"/>
              <w:adjustRightInd w:val="0"/>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w:t>
            </w:r>
            <w:r>
              <w:rPr>
                <w:sz w:val="22"/>
                <w:szCs w:val="22"/>
              </w:rPr>
              <w:t xml:space="preserve"> </w:t>
            </w:r>
            <w:r w:rsidRPr="00153C66">
              <w:rPr>
                <w:b/>
                <w:sz w:val="22"/>
                <w:szCs w:val="22"/>
              </w:rPr>
              <w:t>и обменом</w:t>
            </w:r>
            <w:r>
              <w:rPr>
                <w:sz w:val="22"/>
                <w:szCs w:val="22"/>
              </w:rPr>
              <w:t xml:space="preserve"> </w:t>
            </w:r>
            <w:r w:rsidRPr="008F7EC5">
              <w:rPr>
                <w:sz w:val="22"/>
                <w:szCs w:val="22"/>
              </w:rPr>
              <w:t xml:space="preserve">инвестиционных паев фонда </w:t>
            </w:r>
            <w:r w:rsidRPr="00B65742">
              <w:rPr>
                <w:sz w:val="22"/>
                <w:szCs w:val="22"/>
              </w:rPr>
              <w:t xml:space="preserve">или в связи с выплатой дохода от доверительного управления имуществом, составляющим фонд, </w:t>
            </w:r>
            <w:r w:rsidRPr="008F7EC5">
              <w:rPr>
                <w:sz w:val="22"/>
                <w:szCs w:val="22"/>
              </w:rPr>
              <w:t xml:space="preserve"> на момент расчета ограничения</w:t>
            </w:r>
            <w:r>
              <w:rPr>
                <w:sz w:val="22"/>
                <w:szCs w:val="22"/>
              </w:rPr>
              <w:t>.</w:t>
            </w:r>
            <w:r w:rsidRPr="008F7EC5">
              <w:rPr>
                <w:sz w:val="22"/>
                <w:szCs w:val="22"/>
              </w:rPr>
              <w:t xml:space="preserve">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w:t>
            </w:r>
            <w:r>
              <w:rPr>
                <w:sz w:val="22"/>
                <w:szCs w:val="22"/>
              </w:rPr>
              <w:t xml:space="preserve"> </w:t>
            </w:r>
            <w:r w:rsidRPr="00153C66">
              <w:rPr>
                <w:b/>
                <w:sz w:val="22"/>
                <w:szCs w:val="22"/>
              </w:rPr>
              <w:t>и обменом</w:t>
            </w:r>
            <w:r>
              <w:rPr>
                <w:sz w:val="22"/>
                <w:szCs w:val="22"/>
              </w:rPr>
              <w:t xml:space="preserve"> </w:t>
            </w:r>
            <w:r w:rsidRPr="008F7EC5">
              <w:rPr>
                <w:sz w:val="22"/>
                <w:szCs w:val="22"/>
              </w:rPr>
              <w:t xml:space="preserve">инвестиционных </w:t>
            </w:r>
            <w:r w:rsidRPr="008F7EC5">
              <w:rPr>
                <w:sz w:val="22"/>
                <w:szCs w:val="22"/>
              </w:rPr>
              <w:lastRenderedPageBreak/>
              <w:t xml:space="preserve">паев </w:t>
            </w:r>
            <w:r w:rsidRPr="00B65742">
              <w:rPr>
                <w:sz w:val="22"/>
                <w:szCs w:val="22"/>
              </w:rPr>
              <w:t>или в связи с выплатой дохода от доверительного управления имуществом, составляющим фонд,</w:t>
            </w:r>
            <w:r w:rsidRPr="008F7EC5">
              <w:rPr>
                <w:sz w:val="22"/>
                <w:szCs w:val="22"/>
              </w:rPr>
              <w:t xml:space="preserve"> на момент расчета ограничения.</w:t>
            </w:r>
          </w:p>
          <w:p w14:paraId="46FF3826" w14:textId="77777777" w:rsidR="00153C66" w:rsidRPr="008F7EC5" w:rsidRDefault="00153C66" w:rsidP="00153C66">
            <w:pPr>
              <w:tabs>
                <w:tab w:val="left" w:pos="993"/>
              </w:tabs>
              <w:ind w:firstLine="567"/>
              <w:jc w:val="both"/>
              <w:rPr>
                <w:sz w:val="22"/>
                <w:szCs w:val="22"/>
              </w:rPr>
            </w:pPr>
            <w:r w:rsidRPr="008F7EC5">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r>
              <w:rPr>
                <w:sz w:val="22"/>
                <w:szCs w:val="22"/>
              </w:rPr>
              <w:t xml:space="preserve"> </w:t>
            </w:r>
            <w:r w:rsidRPr="00153C66">
              <w:rPr>
                <w:b/>
                <w:sz w:val="22"/>
                <w:szCs w:val="22"/>
              </w:rPr>
              <w:t>и (или) обмене</w:t>
            </w:r>
            <w:r w:rsidRPr="00BB41DB">
              <w:rPr>
                <w:sz w:val="22"/>
                <w:szCs w:val="22"/>
              </w:rPr>
              <w:t xml:space="preserve"> </w:t>
            </w:r>
            <w:r w:rsidRPr="008F7EC5">
              <w:rPr>
                <w:sz w:val="22"/>
                <w:szCs w:val="22"/>
              </w:rPr>
              <w:t>инвестиционных паев, в течение не более 2 рабочих дней с даты указанного включения.</w:t>
            </w:r>
          </w:p>
          <w:p w14:paraId="4819D495" w14:textId="77777777" w:rsidR="00153C66" w:rsidRPr="008F7EC5" w:rsidRDefault="00153C66" w:rsidP="00153C66">
            <w:pPr>
              <w:tabs>
                <w:tab w:val="left" w:pos="993"/>
              </w:tabs>
              <w:ind w:firstLine="567"/>
              <w:jc w:val="both"/>
              <w:rPr>
                <w:sz w:val="22"/>
                <w:szCs w:val="22"/>
              </w:rPr>
            </w:pPr>
            <w:r w:rsidRPr="008F7EC5">
              <w:rPr>
                <w:sz w:val="22"/>
                <w:szCs w:val="22"/>
              </w:rPr>
              <w:t>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21FD3C9C" w14:textId="77777777" w:rsidR="00153C66" w:rsidRPr="008F7EC5" w:rsidRDefault="00153C66" w:rsidP="00153C66">
            <w:pPr>
              <w:tabs>
                <w:tab w:val="left" w:pos="993"/>
              </w:tabs>
              <w:ind w:firstLine="567"/>
              <w:jc w:val="both"/>
              <w:rPr>
                <w:sz w:val="22"/>
                <w:szCs w:val="22"/>
              </w:rPr>
            </w:pPr>
            <w:r w:rsidRPr="008F7EC5">
              <w:rPr>
                <w:sz w:val="22"/>
                <w:szCs w:val="22"/>
              </w:rPr>
              <w:t xml:space="preserve">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Pr>
                <w:sz w:val="22"/>
                <w:szCs w:val="22"/>
              </w:rPr>
              <w:t xml:space="preserve">пятом </w:t>
            </w:r>
            <w:r w:rsidRPr="008F7EC5">
              <w:rPr>
                <w:sz w:val="22"/>
                <w:szCs w:val="22"/>
              </w:rPr>
              <w:t>абзаце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0B0AF668" w14:textId="77777777" w:rsidR="00153C66" w:rsidRPr="008F7EC5" w:rsidRDefault="00153C66" w:rsidP="00153C66">
            <w:pPr>
              <w:tabs>
                <w:tab w:val="left" w:pos="993"/>
              </w:tabs>
              <w:ind w:firstLine="567"/>
              <w:jc w:val="both"/>
              <w:rPr>
                <w:sz w:val="22"/>
                <w:szCs w:val="22"/>
              </w:rPr>
            </w:pPr>
            <w:r w:rsidRPr="008F7EC5">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3E9B9D11" w14:textId="77777777" w:rsidR="00153C66" w:rsidRDefault="00153C66" w:rsidP="00153C66">
            <w:pPr>
              <w:autoSpaceDE w:val="0"/>
              <w:autoSpaceDN w:val="0"/>
              <w:adjustRightInd w:val="0"/>
              <w:ind w:firstLine="567"/>
              <w:jc w:val="both"/>
              <w:rPr>
                <w:sz w:val="22"/>
                <w:szCs w:val="22"/>
              </w:rPr>
            </w:pPr>
            <w:r w:rsidRPr="008F7EC5">
              <w:rPr>
                <w:sz w:val="22"/>
                <w:szCs w:val="22"/>
              </w:rPr>
              <w:t xml:space="preserve">Для целей абзаца </w:t>
            </w:r>
            <w:r>
              <w:rPr>
                <w:sz w:val="22"/>
                <w:szCs w:val="22"/>
              </w:rPr>
              <w:t>пятого</w:t>
            </w:r>
            <w:r w:rsidRPr="008F7EC5">
              <w:rPr>
                <w:sz w:val="22"/>
                <w:szCs w:val="22"/>
              </w:rPr>
              <w:t xml:space="preserve"> и </w:t>
            </w:r>
            <w:r>
              <w:rPr>
                <w:sz w:val="22"/>
                <w:szCs w:val="22"/>
              </w:rPr>
              <w:t>шестого</w:t>
            </w:r>
            <w:r w:rsidRPr="008F7EC5">
              <w:rPr>
                <w:sz w:val="22"/>
                <w:szCs w:val="22"/>
              </w:rPr>
              <w:t xml:space="preserve"> настоящего подпункта не </w:t>
            </w:r>
            <w:r w:rsidRPr="008772C8">
              <w:rPr>
                <w:sz w:val="22"/>
                <w:szCs w:val="22"/>
              </w:rPr>
              <w:t xml:space="preserve">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w:t>
            </w:r>
            <w:r w:rsidRPr="008772C8">
              <w:rPr>
                <w:sz w:val="22"/>
                <w:szCs w:val="22"/>
              </w:rPr>
              <w:lastRenderedPageBreak/>
              <w:t>предусмотрена невозможность распоряжения приобретенными ценными бумагами, за исключением их</w:t>
            </w:r>
            <w:r w:rsidRPr="008F7EC5">
              <w:rPr>
                <w:sz w:val="22"/>
                <w:szCs w:val="22"/>
              </w:rPr>
              <w:t xml:space="preserve"> возврата по второй части такого договора репо</w:t>
            </w:r>
            <w:r>
              <w:rPr>
                <w:sz w:val="22"/>
                <w:szCs w:val="22"/>
              </w:rPr>
              <w:t>.</w:t>
            </w:r>
          </w:p>
          <w:p w14:paraId="72E5723C" w14:textId="77777777" w:rsidR="00153C66" w:rsidRPr="008772C8" w:rsidRDefault="00153C66" w:rsidP="00153C66">
            <w:pPr>
              <w:autoSpaceDE w:val="0"/>
              <w:autoSpaceDN w:val="0"/>
              <w:adjustRightInd w:val="0"/>
              <w:ind w:firstLine="567"/>
              <w:jc w:val="both"/>
              <w:rPr>
                <w:sz w:val="22"/>
                <w:szCs w:val="22"/>
                <w:highlight w:val="yellow"/>
              </w:rPr>
            </w:pPr>
          </w:p>
          <w:p w14:paraId="675C5890" w14:textId="77777777" w:rsidR="00153C66" w:rsidRPr="008F7EC5" w:rsidRDefault="00153C66" w:rsidP="00153C66">
            <w:pPr>
              <w:tabs>
                <w:tab w:val="left" w:pos="993"/>
              </w:tabs>
              <w:ind w:firstLine="567"/>
              <w:jc w:val="both"/>
              <w:rPr>
                <w:sz w:val="22"/>
                <w:szCs w:val="22"/>
              </w:rPr>
            </w:pPr>
            <w:r w:rsidRPr="008F7EC5">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64DE634C" w14:textId="5CBE7463" w:rsidR="004336D1" w:rsidRPr="0039614A" w:rsidRDefault="00153C66" w:rsidP="00153C66">
            <w:pPr>
              <w:ind w:firstLine="567"/>
              <w:jc w:val="both"/>
            </w:pPr>
            <w:r w:rsidRPr="008F7EC5">
              <w:rPr>
                <w:sz w:val="22"/>
                <w:szCs w:val="22"/>
              </w:rPr>
              <w:t>При определении структуры активов фонда учитываются активы, принятые к расчету стоимости чистых активов фонда</w:t>
            </w:r>
            <w:r>
              <w:rPr>
                <w:sz w:val="22"/>
                <w:szCs w:val="22"/>
              </w:rPr>
              <w:t>.</w:t>
            </w:r>
          </w:p>
        </w:tc>
      </w:tr>
      <w:tr w:rsidR="00153C66" w:rsidRPr="0039614A" w14:paraId="5C85DB73" w14:textId="77777777" w:rsidTr="00135182">
        <w:trPr>
          <w:trHeight w:val="1127"/>
        </w:trPr>
        <w:tc>
          <w:tcPr>
            <w:tcW w:w="4959" w:type="dxa"/>
          </w:tcPr>
          <w:p w14:paraId="7E53D4D4" w14:textId="68CCC732" w:rsidR="00153C66" w:rsidRDefault="00153C66" w:rsidP="00153C66">
            <w:pPr>
              <w:autoSpaceDE w:val="0"/>
              <w:autoSpaceDN w:val="0"/>
              <w:adjustRightInd w:val="0"/>
              <w:ind w:firstLine="567"/>
              <w:jc w:val="both"/>
              <w:rPr>
                <w:sz w:val="22"/>
                <w:szCs w:val="22"/>
              </w:rPr>
            </w:pPr>
            <w:r>
              <w:rPr>
                <w:sz w:val="22"/>
                <w:szCs w:val="22"/>
              </w:rPr>
              <w:lastRenderedPageBreak/>
              <w:t>Подпункт 2 пункта 24 Правил</w:t>
            </w:r>
          </w:p>
          <w:p w14:paraId="31FA6111" w14:textId="30606D74" w:rsidR="00153C66" w:rsidRPr="008F7EC5" w:rsidRDefault="00153C66" w:rsidP="00153C66">
            <w:pPr>
              <w:autoSpaceDE w:val="0"/>
              <w:autoSpaceDN w:val="0"/>
              <w:adjustRightInd w:val="0"/>
              <w:ind w:firstLine="567"/>
              <w:jc w:val="both"/>
              <w:rPr>
                <w:sz w:val="22"/>
                <w:szCs w:val="22"/>
              </w:rPr>
            </w:pPr>
            <w:r w:rsidRPr="008F7EC5">
              <w:rPr>
                <w:sz w:val="22"/>
                <w:szCs w:val="22"/>
              </w:rPr>
              <w:t>2) Доля стоимости инструментов денежного рынка со сроком до погашения (закрытия) менее трех месяцев</w:t>
            </w:r>
            <w:r>
              <w:rPr>
                <w:rFonts w:ascii="Arial" w:hAnsi="Arial" w:cs="Arial"/>
                <w:sz w:val="20"/>
                <w:szCs w:val="20"/>
              </w:rPr>
              <w:t xml:space="preserve">, </w:t>
            </w:r>
            <w:r w:rsidRPr="008F7EC5">
              <w:rPr>
                <w:sz w:val="22"/>
                <w:szCs w:val="22"/>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не более чем на одну ступень, от стоимости чистых активов фонда в совокупности должна превышать большую из следующих величин:</w:t>
            </w:r>
          </w:p>
          <w:p w14:paraId="6D6AA09D" w14:textId="77777777" w:rsidR="00153C66" w:rsidRPr="008F7EC5" w:rsidRDefault="00153C66" w:rsidP="00153C66">
            <w:pPr>
              <w:tabs>
                <w:tab w:val="left" w:pos="993"/>
              </w:tabs>
              <w:ind w:firstLine="567"/>
              <w:jc w:val="both"/>
              <w:rPr>
                <w:sz w:val="22"/>
                <w:szCs w:val="22"/>
              </w:rPr>
            </w:pPr>
            <w:r w:rsidRPr="008F7EC5">
              <w:rPr>
                <w:sz w:val="22"/>
                <w:szCs w:val="22"/>
              </w:rPr>
              <w:t xml:space="preserve">- </w:t>
            </w:r>
            <w:r w:rsidRPr="0095077C">
              <w:rPr>
                <w:sz w:val="22"/>
                <w:szCs w:val="22"/>
              </w:rPr>
              <w:t>три процента</w:t>
            </w:r>
            <w:r w:rsidRPr="008F7EC5">
              <w:rPr>
                <w:sz w:val="22"/>
                <w:szCs w:val="22"/>
              </w:rPr>
              <w:t>;</w:t>
            </w:r>
          </w:p>
          <w:p w14:paraId="2EA0A644" w14:textId="77777777" w:rsidR="00153C66" w:rsidRPr="008F7EC5" w:rsidRDefault="00153C66" w:rsidP="00153C66">
            <w:pPr>
              <w:tabs>
                <w:tab w:val="left" w:pos="993"/>
              </w:tabs>
              <w:ind w:firstLine="567"/>
              <w:jc w:val="both"/>
              <w:rPr>
                <w:sz w:val="22"/>
                <w:szCs w:val="22"/>
              </w:rPr>
            </w:pPr>
            <w:r w:rsidRPr="008F7EC5">
              <w:rPr>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w:t>
            </w:r>
            <w:r>
              <w:rPr>
                <w:sz w:val="22"/>
                <w:szCs w:val="22"/>
              </w:rPr>
              <w:t xml:space="preserve">, </w:t>
            </w:r>
            <w:r w:rsidRPr="008F7EC5">
              <w:rPr>
                <w:sz w:val="22"/>
                <w:szCs w:val="22"/>
              </w:rPr>
              <w:t>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Pr>
                <w:sz w:val="22"/>
                <w:szCs w:val="22"/>
              </w:rPr>
              <w:t>,</w:t>
            </w:r>
            <w:r w:rsidRPr="008F7EC5">
              <w:rPr>
                <w:sz w:val="22"/>
                <w:szCs w:val="22"/>
              </w:rPr>
              <w:t xml:space="preserve">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641742A9" w14:textId="77777777" w:rsidR="00153C66" w:rsidRPr="00153C66" w:rsidRDefault="00153C66" w:rsidP="00153C66">
            <w:pPr>
              <w:tabs>
                <w:tab w:val="left" w:pos="993"/>
              </w:tabs>
              <w:ind w:firstLine="567"/>
              <w:jc w:val="both"/>
              <w:rPr>
                <w:b/>
                <w:sz w:val="22"/>
                <w:szCs w:val="22"/>
              </w:rPr>
            </w:pPr>
            <w:r w:rsidRPr="00153C66">
              <w:rPr>
                <w:b/>
                <w:sz w:val="22"/>
                <w:szCs w:val="22"/>
              </w:rPr>
              <w:t xml:space="preserve">Для целей настоящего подпункта учитываются денежные средства, распоряжение которыми не ограничено на основании решения органа государственной </w:t>
            </w:r>
            <w:r w:rsidRPr="00153C66">
              <w:rPr>
                <w:b/>
                <w:sz w:val="22"/>
                <w:szCs w:val="22"/>
              </w:rPr>
              <w:lastRenderedPageBreak/>
              <w:t>власти, на которые не установлено обременение, ценные бумаги, права по продаже или иной передаче по договору которых не ограничены.</w:t>
            </w:r>
          </w:p>
          <w:p w14:paraId="7C7C9DA1" w14:textId="6B6543EE" w:rsidR="00153C66" w:rsidRPr="008F7EC5" w:rsidRDefault="00153C66" w:rsidP="00153C66">
            <w:pPr>
              <w:tabs>
                <w:tab w:val="left" w:pos="993"/>
              </w:tabs>
              <w:ind w:firstLine="567"/>
              <w:jc w:val="both"/>
              <w:rPr>
                <w:sz w:val="22"/>
                <w:szCs w:val="22"/>
              </w:rPr>
            </w:pPr>
            <w:r w:rsidRPr="008F7EC5">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c>
          <w:tcPr>
            <w:tcW w:w="4959" w:type="dxa"/>
          </w:tcPr>
          <w:p w14:paraId="647E9F7A" w14:textId="20D12876" w:rsidR="00153C66" w:rsidRDefault="00153C66" w:rsidP="00153C66">
            <w:pPr>
              <w:autoSpaceDE w:val="0"/>
              <w:autoSpaceDN w:val="0"/>
              <w:adjustRightInd w:val="0"/>
              <w:ind w:firstLine="567"/>
              <w:jc w:val="both"/>
              <w:rPr>
                <w:sz w:val="22"/>
                <w:szCs w:val="22"/>
              </w:rPr>
            </w:pPr>
            <w:r>
              <w:rPr>
                <w:sz w:val="22"/>
                <w:szCs w:val="22"/>
              </w:rPr>
              <w:lastRenderedPageBreak/>
              <w:t>Подпункт 2 пункта 24 Правил</w:t>
            </w:r>
          </w:p>
          <w:p w14:paraId="79D30C47" w14:textId="6C967E77" w:rsidR="00153C66" w:rsidRPr="008F7EC5" w:rsidRDefault="00153C66" w:rsidP="00153C66">
            <w:pPr>
              <w:autoSpaceDE w:val="0"/>
              <w:autoSpaceDN w:val="0"/>
              <w:adjustRightInd w:val="0"/>
              <w:ind w:firstLine="567"/>
              <w:jc w:val="both"/>
              <w:rPr>
                <w:sz w:val="22"/>
                <w:szCs w:val="22"/>
              </w:rPr>
            </w:pPr>
            <w:r w:rsidRPr="008F7EC5">
              <w:rPr>
                <w:sz w:val="22"/>
                <w:szCs w:val="22"/>
              </w:rPr>
              <w:t>2) Доля стоимости инструментов денежного рынка со сроком до погашения (закрытия) менее трех месяцев</w:t>
            </w:r>
            <w:r>
              <w:rPr>
                <w:rFonts w:ascii="Arial" w:hAnsi="Arial" w:cs="Arial"/>
                <w:sz w:val="20"/>
                <w:szCs w:val="20"/>
              </w:rPr>
              <w:t xml:space="preserve">, </w:t>
            </w:r>
            <w:r w:rsidRPr="008F7EC5">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не более чем на одну </w:t>
            </w:r>
            <w:r w:rsidRPr="002B0BEE">
              <w:rPr>
                <w:sz w:val="22"/>
                <w:szCs w:val="22"/>
              </w:rPr>
              <w:t>ступень, от стоимости чистых активов фонда в совокупности должна превышать большую из следующих величин:</w:t>
            </w:r>
          </w:p>
          <w:p w14:paraId="308AFC40" w14:textId="77777777" w:rsidR="00153C66" w:rsidRPr="008F7EC5" w:rsidRDefault="00153C66" w:rsidP="00153C66">
            <w:pPr>
              <w:tabs>
                <w:tab w:val="left" w:pos="993"/>
              </w:tabs>
              <w:ind w:firstLine="567"/>
              <w:jc w:val="both"/>
              <w:rPr>
                <w:sz w:val="22"/>
                <w:szCs w:val="22"/>
              </w:rPr>
            </w:pPr>
            <w:r w:rsidRPr="008F7EC5">
              <w:rPr>
                <w:sz w:val="22"/>
                <w:szCs w:val="22"/>
              </w:rPr>
              <w:t xml:space="preserve">- </w:t>
            </w:r>
            <w:r w:rsidRPr="0095077C">
              <w:rPr>
                <w:sz w:val="22"/>
                <w:szCs w:val="22"/>
              </w:rPr>
              <w:t>три процента</w:t>
            </w:r>
            <w:r w:rsidRPr="008F7EC5">
              <w:rPr>
                <w:sz w:val="22"/>
                <w:szCs w:val="22"/>
              </w:rPr>
              <w:t>;</w:t>
            </w:r>
          </w:p>
          <w:p w14:paraId="5EFBF1D9" w14:textId="77777777" w:rsidR="00153C66" w:rsidRPr="008F7EC5" w:rsidRDefault="00153C66" w:rsidP="00153C66">
            <w:pPr>
              <w:tabs>
                <w:tab w:val="left" w:pos="993"/>
              </w:tabs>
              <w:ind w:firstLine="567"/>
              <w:jc w:val="both"/>
              <w:rPr>
                <w:sz w:val="22"/>
                <w:szCs w:val="22"/>
              </w:rPr>
            </w:pPr>
            <w:r w:rsidRPr="008F7EC5">
              <w:rPr>
                <w:sz w:val="22"/>
                <w:szCs w:val="22"/>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w:t>
            </w:r>
            <w:r w:rsidRPr="00B76B1E">
              <w:t xml:space="preserve"> </w:t>
            </w:r>
            <w:r w:rsidRPr="00153C66">
              <w:rPr>
                <w:b/>
                <w:sz w:val="22"/>
                <w:szCs w:val="22"/>
              </w:rPr>
              <w:t>или обмена</w:t>
            </w:r>
            <w:r>
              <w:rPr>
                <w:sz w:val="22"/>
                <w:szCs w:val="22"/>
              </w:rPr>
              <w:t xml:space="preserve">, </w:t>
            </w:r>
            <w:r w:rsidRPr="008F7EC5">
              <w:rPr>
                <w:sz w:val="22"/>
                <w:szCs w:val="22"/>
              </w:rPr>
              <w:t>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Pr="00B76B1E">
              <w:t xml:space="preserve"> </w:t>
            </w:r>
            <w:r w:rsidRPr="00153C66">
              <w:rPr>
                <w:b/>
                <w:sz w:val="22"/>
                <w:szCs w:val="22"/>
              </w:rPr>
              <w:t>или обмена</w:t>
            </w:r>
            <w:r>
              <w:rPr>
                <w:sz w:val="22"/>
                <w:szCs w:val="22"/>
              </w:rPr>
              <w:t>,</w:t>
            </w:r>
            <w:r w:rsidRPr="008F7EC5">
              <w:rPr>
                <w:sz w:val="22"/>
                <w:szCs w:val="22"/>
              </w:rPr>
              <w:t xml:space="preserve">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027A006E" w14:textId="71662F7F" w:rsidR="00153C66" w:rsidRPr="00153C66" w:rsidRDefault="00153C66" w:rsidP="00153C66">
            <w:pPr>
              <w:tabs>
                <w:tab w:val="left" w:pos="993"/>
              </w:tabs>
              <w:ind w:firstLine="567"/>
              <w:jc w:val="both"/>
              <w:rPr>
                <w:b/>
                <w:sz w:val="22"/>
                <w:szCs w:val="22"/>
              </w:rPr>
            </w:pPr>
            <w:r w:rsidRPr="00153C66">
              <w:rPr>
                <w:b/>
                <w:sz w:val="22"/>
                <w:szCs w:val="22"/>
              </w:rPr>
              <w:t xml:space="preserve">Для целей настоящего подпункта не учитываются активы, в отношении которых было установлено обременение или </w:t>
            </w:r>
            <w:r w:rsidRPr="00153C66">
              <w:rPr>
                <w:b/>
                <w:sz w:val="22"/>
                <w:szCs w:val="22"/>
              </w:rPr>
              <w:lastRenderedPageBreak/>
              <w:t>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53B832E8" w14:textId="1D6F3356" w:rsidR="00153C66" w:rsidRPr="0039614A" w:rsidRDefault="00153C66" w:rsidP="00153C66">
            <w:pPr>
              <w:ind w:firstLine="567"/>
              <w:jc w:val="both"/>
            </w:pPr>
            <w:r w:rsidRPr="008F7EC5">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53C66" w:rsidRPr="0039614A" w14:paraId="5BAA2E50" w14:textId="77777777" w:rsidTr="00135182">
        <w:trPr>
          <w:trHeight w:val="1127"/>
        </w:trPr>
        <w:tc>
          <w:tcPr>
            <w:tcW w:w="4959" w:type="dxa"/>
          </w:tcPr>
          <w:p w14:paraId="668FFD0A" w14:textId="77777777" w:rsidR="00153C66" w:rsidRDefault="00153C66" w:rsidP="00153C66">
            <w:pPr>
              <w:autoSpaceDE w:val="0"/>
              <w:autoSpaceDN w:val="0"/>
              <w:adjustRightInd w:val="0"/>
              <w:ind w:firstLine="567"/>
              <w:jc w:val="both"/>
              <w:rPr>
                <w:sz w:val="22"/>
                <w:szCs w:val="22"/>
              </w:rPr>
            </w:pPr>
            <w:r>
              <w:rPr>
                <w:sz w:val="22"/>
                <w:szCs w:val="22"/>
              </w:rPr>
              <w:lastRenderedPageBreak/>
              <w:t>Абзац 2 пункта 48.1 Правил</w:t>
            </w:r>
          </w:p>
          <w:p w14:paraId="502B4576" w14:textId="1120F1D9" w:rsidR="00153C66" w:rsidRPr="008F7EC5" w:rsidRDefault="00153C66" w:rsidP="00153C66">
            <w:pPr>
              <w:autoSpaceDE w:val="0"/>
              <w:autoSpaceDN w:val="0"/>
              <w:adjustRightInd w:val="0"/>
              <w:ind w:firstLine="567"/>
              <w:jc w:val="both"/>
              <w:rPr>
                <w:sz w:val="22"/>
                <w:szCs w:val="22"/>
              </w:rPr>
            </w:pPr>
            <w:r w:rsidRPr="001F64D9">
              <w:rPr>
                <w:sz w:val="22"/>
                <w:szCs w:val="22"/>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Pr="0010707E">
              <w:rPr>
                <w:sz w:val="22"/>
                <w:szCs w:val="22"/>
              </w:rPr>
              <w:t>191119, г. Санкт-Петербург, вн.тер.г. Муниципальный округ Семеновский, пр-кт Загородный, д. 46, к. 2, литера Б, кабинет № 125</w:t>
            </w:r>
            <w:r>
              <w:rPr>
                <w:sz w:val="22"/>
                <w:szCs w:val="22"/>
              </w:rPr>
              <w:t xml:space="preserve">, </w:t>
            </w:r>
            <w:r w:rsidRPr="00575F83">
              <w:rPr>
                <w:sz w:val="22"/>
                <w:szCs w:val="22"/>
              </w:rPr>
              <w:t>Общество с ограниченной ответственностью «УК «А-Капитал»</w:t>
            </w:r>
            <w:r w:rsidRPr="0010707E">
              <w:rPr>
                <w:sz w:val="22"/>
                <w:szCs w:val="22"/>
              </w:rPr>
              <w:t>.</w:t>
            </w:r>
          </w:p>
        </w:tc>
        <w:tc>
          <w:tcPr>
            <w:tcW w:w="4959" w:type="dxa"/>
          </w:tcPr>
          <w:p w14:paraId="6C6587A4" w14:textId="77777777" w:rsidR="00153C66" w:rsidRDefault="00153C66" w:rsidP="00153C66">
            <w:pPr>
              <w:autoSpaceDE w:val="0"/>
              <w:autoSpaceDN w:val="0"/>
              <w:adjustRightInd w:val="0"/>
              <w:ind w:firstLine="567"/>
              <w:jc w:val="both"/>
              <w:rPr>
                <w:sz w:val="22"/>
                <w:szCs w:val="22"/>
              </w:rPr>
            </w:pPr>
            <w:r>
              <w:rPr>
                <w:sz w:val="22"/>
                <w:szCs w:val="22"/>
              </w:rPr>
              <w:t>Абзац 2 пункта 48.1 Правил</w:t>
            </w:r>
          </w:p>
          <w:p w14:paraId="27149523" w14:textId="0A2E461E" w:rsidR="00153C66" w:rsidRPr="008F7EC5" w:rsidRDefault="00153C66" w:rsidP="00153C66">
            <w:pPr>
              <w:autoSpaceDE w:val="0"/>
              <w:autoSpaceDN w:val="0"/>
              <w:adjustRightInd w:val="0"/>
              <w:ind w:firstLine="567"/>
              <w:jc w:val="both"/>
              <w:rPr>
                <w:sz w:val="22"/>
                <w:szCs w:val="22"/>
              </w:rPr>
            </w:pPr>
            <w:r w:rsidRPr="001F64D9">
              <w:rPr>
                <w:sz w:val="22"/>
                <w:szCs w:val="22"/>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Pr="00153C66">
              <w:rPr>
                <w:b/>
                <w:sz w:val="22"/>
                <w:szCs w:val="22"/>
              </w:rPr>
              <w:t>195112, г. Санкт-Петербург, вн.тер.г. Муниципальный округ Малая Охта, пр-кт Малоохтинский, д. 64, литера В, часть пом. 24Н (комн. 1,3,5)</w:t>
            </w:r>
            <w:r>
              <w:rPr>
                <w:sz w:val="22"/>
                <w:szCs w:val="22"/>
              </w:rPr>
              <w:t xml:space="preserve">, </w:t>
            </w:r>
            <w:r w:rsidRPr="00575F83">
              <w:rPr>
                <w:sz w:val="22"/>
                <w:szCs w:val="22"/>
              </w:rPr>
              <w:t>Общество с ограниченной ответственностью «УК «А-Капитал»</w:t>
            </w:r>
            <w:r w:rsidRPr="0010707E">
              <w:rPr>
                <w:sz w:val="22"/>
                <w:szCs w:val="22"/>
              </w:rPr>
              <w:t>.</w:t>
            </w:r>
          </w:p>
        </w:tc>
      </w:tr>
      <w:tr w:rsidR="00402742" w:rsidRPr="0039614A" w14:paraId="426ADC81" w14:textId="77777777" w:rsidTr="00135182">
        <w:trPr>
          <w:trHeight w:val="1127"/>
        </w:trPr>
        <w:tc>
          <w:tcPr>
            <w:tcW w:w="4959" w:type="dxa"/>
          </w:tcPr>
          <w:p w14:paraId="3563F63A" w14:textId="77777777" w:rsidR="00402742" w:rsidRDefault="00402742" w:rsidP="00402742">
            <w:pPr>
              <w:autoSpaceDE w:val="0"/>
              <w:autoSpaceDN w:val="0"/>
              <w:adjustRightInd w:val="0"/>
              <w:ind w:firstLine="567"/>
              <w:jc w:val="both"/>
              <w:rPr>
                <w:sz w:val="22"/>
                <w:szCs w:val="22"/>
              </w:rPr>
            </w:pPr>
            <w:r>
              <w:rPr>
                <w:sz w:val="22"/>
                <w:szCs w:val="22"/>
              </w:rPr>
              <w:t>Абзац 2 пункта 49.2 Правил</w:t>
            </w:r>
          </w:p>
          <w:p w14:paraId="4E30F852" w14:textId="1A87ED99" w:rsidR="00402742" w:rsidRPr="00412EC0" w:rsidRDefault="00402742" w:rsidP="00412EC0">
            <w:pPr>
              <w:pStyle w:val="ConsPlusNormal"/>
              <w:ind w:firstLine="567"/>
              <w:jc w:val="both"/>
              <w:rPr>
                <w:sz w:val="22"/>
                <w:szCs w:val="22"/>
                <w:lang w:eastAsia="en-US"/>
              </w:rPr>
            </w:pPr>
            <w:r w:rsidRPr="008E2FA4">
              <w:rPr>
                <w:rFonts w:ascii="Times New Roman" w:hAnsi="Times New Roman" w:cs="Times New Roman"/>
                <w:sz w:val="22"/>
                <w:szCs w:val="22"/>
                <w:lang w:eastAsia="en-US"/>
              </w:rPr>
              <w:t>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w:t>
            </w:r>
            <w:r>
              <w:rPr>
                <w:rFonts w:ascii="Times New Roman" w:hAnsi="Times New Roman" w:cs="Times New Roman"/>
                <w:sz w:val="22"/>
                <w:szCs w:val="22"/>
                <w:lang w:eastAsia="en-US"/>
              </w:rPr>
              <w:t xml:space="preserve"> </w:t>
            </w:r>
            <w:r w:rsidRPr="00B95AB9">
              <w:rPr>
                <w:rFonts w:ascii="Times New Roman" w:hAnsi="Times New Roman" w:cs="Times New Roman"/>
                <w:sz w:val="22"/>
                <w:szCs w:val="22"/>
                <w:lang w:eastAsia="en-US"/>
              </w:rPr>
              <w:t xml:space="preserve">(далее – </w:t>
            </w:r>
            <w:r w:rsidRPr="00412EC0">
              <w:rPr>
                <w:rFonts w:ascii="Times New Roman" w:hAnsi="Times New Roman" w:cs="Times New Roman"/>
                <w:b/>
                <w:sz w:val="22"/>
                <w:szCs w:val="22"/>
                <w:lang w:eastAsia="en-US"/>
              </w:rPr>
              <w:t>«</w:t>
            </w:r>
            <w:r w:rsidRPr="00B95AB9">
              <w:rPr>
                <w:rFonts w:ascii="Times New Roman" w:hAnsi="Times New Roman" w:cs="Times New Roman"/>
                <w:sz w:val="22"/>
                <w:szCs w:val="22"/>
                <w:lang w:eastAsia="en-US"/>
              </w:rPr>
              <w:t>ЛКА</w:t>
            </w:r>
            <w:r w:rsidRPr="00412EC0">
              <w:rPr>
                <w:rFonts w:ascii="Times New Roman" w:hAnsi="Times New Roman" w:cs="Times New Roman"/>
                <w:b/>
                <w:sz w:val="22"/>
                <w:szCs w:val="22"/>
                <w:lang w:eastAsia="en-US"/>
              </w:rPr>
              <w:t>»</w:t>
            </w:r>
            <w:r w:rsidRPr="00B95AB9">
              <w:rPr>
                <w:rFonts w:ascii="Times New Roman" w:hAnsi="Times New Roman" w:cs="Times New Roman"/>
                <w:sz w:val="22"/>
                <w:szCs w:val="22"/>
                <w:lang w:eastAsia="en-US"/>
              </w:rPr>
              <w:t>)</w:t>
            </w:r>
            <w:r w:rsidRPr="008E2FA4">
              <w:rPr>
                <w:rFonts w:ascii="Times New Roman" w:hAnsi="Times New Roman" w:cs="Times New Roman"/>
                <w:sz w:val="22"/>
                <w:szCs w:val="22"/>
                <w:lang w:eastAsia="en-US"/>
              </w:rPr>
              <w:t xml:space="preserve"> и/или посредством </w:t>
            </w:r>
            <w:r w:rsidRPr="00412EC0">
              <w:rPr>
                <w:rFonts w:ascii="Times New Roman" w:hAnsi="Times New Roman" w:cs="Times New Roman"/>
                <w:b/>
                <w:sz w:val="22"/>
                <w:szCs w:val="22"/>
                <w:lang w:eastAsia="en-US"/>
              </w:rPr>
              <w:t>специализированного программного обеспечения управляющей компании</w:t>
            </w:r>
            <w:r w:rsidRPr="008E2FA4">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СРД</w:t>
            </w:r>
            <w:r w:rsidRPr="008E2FA4">
              <w:rPr>
                <w:rFonts w:ascii="Times New Roman" w:hAnsi="Times New Roman" w:cs="Times New Roman"/>
                <w:sz w:val="22"/>
                <w:szCs w:val="22"/>
                <w:lang w:eastAsia="en-US"/>
              </w:rPr>
              <w:t>. При подаче заявки в электронном виде физическое лицо подписывает электронный документ простой электронной подписью.</w:t>
            </w:r>
          </w:p>
        </w:tc>
        <w:tc>
          <w:tcPr>
            <w:tcW w:w="4959" w:type="dxa"/>
          </w:tcPr>
          <w:p w14:paraId="33948F83" w14:textId="77777777" w:rsidR="00402742" w:rsidRDefault="00402742" w:rsidP="00153C66">
            <w:pPr>
              <w:autoSpaceDE w:val="0"/>
              <w:autoSpaceDN w:val="0"/>
              <w:adjustRightInd w:val="0"/>
              <w:ind w:firstLine="567"/>
              <w:jc w:val="both"/>
              <w:rPr>
                <w:sz w:val="22"/>
                <w:szCs w:val="22"/>
              </w:rPr>
            </w:pPr>
            <w:r>
              <w:rPr>
                <w:sz w:val="22"/>
                <w:szCs w:val="22"/>
              </w:rPr>
              <w:t>Абзац 2 пункта 49.2 Правил</w:t>
            </w:r>
          </w:p>
          <w:p w14:paraId="47B33E53" w14:textId="2726BAD7" w:rsidR="00402742" w:rsidRPr="00412EC0" w:rsidRDefault="00402742" w:rsidP="00412EC0">
            <w:pPr>
              <w:pStyle w:val="ConsPlusNormal"/>
              <w:ind w:firstLine="567"/>
              <w:jc w:val="both"/>
              <w:rPr>
                <w:sz w:val="22"/>
                <w:szCs w:val="22"/>
                <w:lang w:eastAsia="en-US"/>
              </w:rPr>
            </w:pPr>
            <w:r w:rsidRPr="008E2FA4">
              <w:rPr>
                <w:rFonts w:ascii="Times New Roman" w:hAnsi="Times New Roman" w:cs="Times New Roman"/>
                <w:sz w:val="22"/>
                <w:szCs w:val="22"/>
                <w:lang w:eastAsia="en-US"/>
              </w:rPr>
              <w:t>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w:t>
            </w:r>
            <w:r>
              <w:rPr>
                <w:rFonts w:ascii="Times New Roman" w:hAnsi="Times New Roman" w:cs="Times New Roman"/>
                <w:sz w:val="22"/>
                <w:szCs w:val="22"/>
                <w:lang w:eastAsia="en-US"/>
              </w:rPr>
              <w:t xml:space="preserve"> </w:t>
            </w:r>
            <w:r w:rsidRPr="00B95AB9">
              <w:rPr>
                <w:rFonts w:ascii="Times New Roman" w:hAnsi="Times New Roman" w:cs="Times New Roman"/>
                <w:sz w:val="22"/>
                <w:szCs w:val="22"/>
                <w:lang w:eastAsia="en-US"/>
              </w:rPr>
              <w:t>(далее – ЛКА)</w:t>
            </w:r>
            <w:r w:rsidRPr="008E2FA4">
              <w:rPr>
                <w:rFonts w:ascii="Times New Roman" w:hAnsi="Times New Roman" w:cs="Times New Roman"/>
                <w:sz w:val="22"/>
                <w:szCs w:val="22"/>
                <w:lang w:eastAsia="en-US"/>
              </w:rPr>
              <w:t xml:space="preserve"> и/или посредством </w:t>
            </w:r>
            <w:r>
              <w:rPr>
                <w:rFonts w:ascii="Times New Roman" w:hAnsi="Times New Roman" w:cs="Times New Roman"/>
                <w:sz w:val="22"/>
                <w:szCs w:val="22"/>
                <w:lang w:eastAsia="en-US"/>
              </w:rPr>
              <w:t>СРД</w:t>
            </w:r>
            <w:r w:rsidRPr="008E2FA4">
              <w:rPr>
                <w:rFonts w:ascii="Times New Roman" w:hAnsi="Times New Roman" w:cs="Times New Roman"/>
                <w:sz w:val="22"/>
                <w:szCs w:val="22"/>
                <w:lang w:eastAsia="en-US"/>
              </w:rPr>
              <w:t>. При подаче заявки в электронном виде физическое лицо подписывает электронный документ простой электронной подписью.</w:t>
            </w:r>
          </w:p>
        </w:tc>
      </w:tr>
      <w:tr w:rsidR="00153C66" w:rsidRPr="0039614A" w14:paraId="4F8299AD" w14:textId="77777777" w:rsidTr="00135182">
        <w:trPr>
          <w:trHeight w:val="1127"/>
        </w:trPr>
        <w:tc>
          <w:tcPr>
            <w:tcW w:w="4959" w:type="dxa"/>
          </w:tcPr>
          <w:p w14:paraId="47A2F2DC" w14:textId="77777777" w:rsidR="00153C66" w:rsidRDefault="00153C66" w:rsidP="00153C66">
            <w:pPr>
              <w:autoSpaceDE w:val="0"/>
              <w:autoSpaceDN w:val="0"/>
              <w:adjustRightInd w:val="0"/>
              <w:ind w:firstLine="567"/>
              <w:jc w:val="both"/>
              <w:rPr>
                <w:sz w:val="22"/>
                <w:szCs w:val="22"/>
              </w:rPr>
            </w:pPr>
            <w:r>
              <w:rPr>
                <w:sz w:val="22"/>
                <w:szCs w:val="22"/>
              </w:rPr>
              <w:t>Абзац 2 пункта 72.1 Правил</w:t>
            </w:r>
          </w:p>
          <w:p w14:paraId="2ED3685B" w14:textId="737F3E50" w:rsidR="00153C66" w:rsidRDefault="00153C66" w:rsidP="00153C66">
            <w:pPr>
              <w:autoSpaceDE w:val="0"/>
              <w:autoSpaceDN w:val="0"/>
              <w:adjustRightInd w:val="0"/>
              <w:ind w:firstLine="567"/>
              <w:jc w:val="both"/>
              <w:rPr>
                <w:sz w:val="22"/>
                <w:szCs w:val="22"/>
              </w:rPr>
            </w:pPr>
            <w:r w:rsidRPr="001F64D9">
              <w:rPr>
                <w:sz w:val="22"/>
                <w:szCs w:val="22"/>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Pr="002F51F5">
              <w:rPr>
                <w:sz w:val="22"/>
                <w:szCs w:val="22"/>
              </w:rPr>
              <w:t>191119, г. Санкт-Петербург, вн.тер.г. Муниципальный округ Семеновский, пр-кт Загородный, д. 46, к. 2, литера Б, кабинет № 125</w:t>
            </w:r>
            <w:r>
              <w:rPr>
                <w:sz w:val="22"/>
                <w:szCs w:val="22"/>
              </w:rPr>
              <w:t xml:space="preserve">, </w:t>
            </w:r>
            <w:r w:rsidRPr="00575F83">
              <w:rPr>
                <w:sz w:val="22"/>
                <w:szCs w:val="22"/>
              </w:rPr>
              <w:t>Общество с ограниченной ответственностью «УК «А-Капитал»</w:t>
            </w:r>
            <w:r w:rsidRPr="001F64D9">
              <w:rPr>
                <w:sz w:val="22"/>
                <w:szCs w:val="22"/>
              </w:rPr>
              <w:t>.</w:t>
            </w:r>
          </w:p>
        </w:tc>
        <w:tc>
          <w:tcPr>
            <w:tcW w:w="4959" w:type="dxa"/>
          </w:tcPr>
          <w:p w14:paraId="5C6029F1" w14:textId="77777777" w:rsidR="00153C66" w:rsidRDefault="00153C66" w:rsidP="00153C66">
            <w:pPr>
              <w:autoSpaceDE w:val="0"/>
              <w:autoSpaceDN w:val="0"/>
              <w:adjustRightInd w:val="0"/>
              <w:ind w:firstLine="567"/>
              <w:jc w:val="both"/>
              <w:rPr>
                <w:sz w:val="22"/>
                <w:szCs w:val="22"/>
              </w:rPr>
            </w:pPr>
            <w:r>
              <w:rPr>
                <w:sz w:val="22"/>
                <w:szCs w:val="22"/>
              </w:rPr>
              <w:t>Абзац 2 пункта 72.1 Правил</w:t>
            </w:r>
          </w:p>
          <w:p w14:paraId="7F573469" w14:textId="4B5B2EE4" w:rsidR="00153C66" w:rsidRDefault="00153C66" w:rsidP="00153C66">
            <w:pPr>
              <w:autoSpaceDE w:val="0"/>
              <w:autoSpaceDN w:val="0"/>
              <w:adjustRightInd w:val="0"/>
              <w:ind w:firstLine="567"/>
              <w:jc w:val="both"/>
              <w:rPr>
                <w:sz w:val="22"/>
                <w:szCs w:val="22"/>
              </w:rPr>
            </w:pPr>
            <w:r w:rsidRPr="001F64D9">
              <w:rPr>
                <w:sz w:val="22"/>
                <w:szCs w:val="22"/>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Pr="00153C66">
              <w:rPr>
                <w:b/>
                <w:sz w:val="22"/>
                <w:szCs w:val="22"/>
              </w:rPr>
              <w:t>195112, г. Санкт-Петербург, вн.тер.г. Муниципальный округ Малая Охта, пр-кт Малоохтинский, д. 64, литера В, часть пом. 24Н (комн. 1,3,5)</w:t>
            </w:r>
            <w:r>
              <w:rPr>
                <w:sz w:val="22"/>
                <w:szCs w:val="22"/>
              </w:rPr>
              <w:t xml:space="preserve">, </w:t>
            </w:r>
            <w:r w:rsidRPr="00575F83">
              <w:rPr>
                <w:sz w:val="22"/>
                <w:szCs w:val="22"/>
              </w:rPr>
              <w:t>Общество с ограниченной ответственностью «УК «А-Капитал»</w:t>
            </w:r>
            <w:r w:rsidRPr="001F64D9">
              <w:rPr>
                <w:sz w:val="22"/>
                <w:szCs w:val="22"/>
              </w:rPr>
              <w:t>.</w:t>
            </w:r>
          </w:p>
        </w:tc>
      </w:tr>
      <w:tr w:rsidR="00153C66" w:rsidRPr="0039614A" w14:paraId="21AA3A05" w14:textId="77777777" w:rsidTr="00135182">
        <w:trPr>
          <w:trHeight w:val="1127"/>
        </w:trPr>
        <w:tc>
          <w:tcPr>
            <w:tcW w:w="4959" w:type="dxa"/>
          </w:tcPr>
          <w:p w14:paraId="2CC8D9BC" w14:textId="77777777" w:rsidR="00153C66" w:rsidRDefault="00153C66" w:rsidP="00153C66">
            <w:pPr>
              <w:autoSpaceDE w:val="0"/>
              <w:autoSpaceDN w:val="0"/>
              <w:adjustRightInd w:val="0"/>
              <w:ind w:firstLine="567"/>
              <w:jc w:val="both"/>
              <w:rPr>
                <w:sz w:val="22"/>
                <w:szCs w:val="22"/>
              </w:rPr>
            </w:pPr>
            <w:r>
              <w:rPr>
                <w:sz w:val="22"/>
                <w:szCs w:val="22"/>
              </w:rPr>
              <w:lastRenderedPageBreak/>
              <w:t>Абзац 2 пункта 72.3 Правил</w:t>
            </w:r>
          </w:p>
          <w:p w14:paraId="3F5EAE0E" w14:textId="14F0EE17" w:rsidR="00153C66" w:rsidRDefault="00153C66" w:rsidP="00153C66">
            <w:pPr>
              <w:autoSpaceDE w:val="0"/>
              <w:autoSpaceDN w:val="0"/>
              <w:adjustRightInd w:val="0"/>
              <w:ind w:firstLine="567"/>
              <w:jc w:val="both"/>
              <w:rPr>
                <w:sz w:val="22"/>
                <w:szCs w:val="22"/>
              </w:rPr>
            </w:pPr>
            <w:r w:rsidRPr="00B52DAF">
              <w:rPr>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Pr="00FC11D2">
              <w:rPr>
                <w:b/>
                <w:sz w:val="22"/>
                <w:szCs w:val="22"/>
              </w:rPr>
              <w:t>информационного сервиса управляющей компании «Личный кабинет агента»</w:t>
            </w:r>
            <w:r w:rsidRPr="00B52DAF">
              <w:rPr>
                <w:sz w:val="22"/>
                <w:szCs w:val="22"/>
              </w:rPr>
              <w:t xml:space="preserve"> и/или посредством </w:t>
            </w:r>
            <w:r w:rsidRPr="00153C66">
              <w:rPr>
                <w:b/>
                <w:sz w:val="22"/>
                <w:szCs w:val="22"/>
              </w:rPr>
              <w:t>специализированного программного обеспечения управляющей компании «Система регистрации договоров»</w:t>
            </w:r>
            <w:r w:rsidRPr="00B52DAF">
              <w:rPr>
                <w:sz w:val="22"/>
                <w:szCs w:val="22"/>
              </w:rPr>
              <w:t>. При подаче заявки в электронном виде физическое лицо подписывает электронный документ простой электронной подписью.</w:t>
            </w:r>
          </w:p>
        </w:tc>
        <w:tc>
          <w:tcPr>
            <w:tcW w:w="4959" w:type="dxa"/>
          </w:tcPr>
          <w:p w14:paraId="5E60FA31" w14:textId="77777777" w:rsidR="00153C66" w:rsidRDefault="00153C66" w:rsidP="00153C66">
            <w:pPr>
              <w:autoSpaceDE w:val="0"/>
              <w:autoSpaceDN w:val="0"/>
              <w:adjustRightInd w:val="0"/>
              <w:ind w:firstLine="567"/>
              <w:jc w:val="both"/>
              <w:rPr>
                <w:sz w:val="22"/>
                <w:szCs w:val="22"/>
              </w:rPr>
            </w:pPr>
            <w:r>
              <w:rPr>
                <w:sz w:val="22"/>
                <w:szCs w:val="22"/>
              </w:rPr>
              <w:t>Абзац 2 пункта 72.3 Правил</w:t>
            </w:r>
          </w:p>
          <w:p w14:paraId="2E482B19" w14:textId="758553D3" w:rsidR="00153C66" w:rsidRDefault="00153C66" w:rsidP="00402742">
            <w:pPr>
              <w:autoSpaceDE w:val="0"/>
              <w:autoSpaceDN w:val="0"/>
              <w:adjustRightInd w:val="0"/>
              <w:ind w:firstLine="567"/>
              <w:jc w:val="both"/>
              <w:rPr>
                <w:sz w:val="22"/>
                <w:szCs w:val="22"/>
              </w:rPr>
            </w:pPr>
            <w:r w:rsidRPr="00B52DAF">
              <w:rPr>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402742" w:rsidRPr="00412EC0">
              <w:rPr>
                <w:b/>
                <w:sz w:val="22"/>
                <w:szCs w:val="22"/>
              </w:rPr>
              <w:t>ЛКА</w:t>
            </w:r>
            <w:r w:rsidRPr="00B52DAF">
              <w:rPr>
                <w:sz w:val="22"/>
                <w:szCs w:val="22"/>
              </w:rPr>
              <w:t xml:space="preserve"> и/или посредством </w:t>
            </w:r>
            <w:r w:rsidRPr="00153C66">
              <w:rPr>
                <w:b/>
                <w:sz w:val="22"/>
                <w:szCs w:val="22"/>
              </w:rPr>
              <w:t>СРД</w:t>
            </w:r>
            <w:r w:rsidRPr="00B52DAF">
              <w:rPr>
                <w:sz w:val="22"/>
                <w:szCs w:val="22"/>
              </w:rPr>
              <w:t>. При подаче заявки в электронном виде физическое лицо подписывает электронный документ простой электронной подписью.</w:t>
            </w:r>
          </w:p>
        </w:tc>
      </w:tr>
      <w:tr w:rsidR="00153C66" w:rsidRPr="0039614A" w14:paraId="4D516E60" w14:textId="77777777" w:rsidTr="00135182">
        <w:trPr>
          <w:trHeight w:val="1127"/>
        </w:trPr>
        <w:tc>
          <w:tcPr>
            <w:tcW w:w="4959" w:type="dxa"/>
          </w:tcPr>
          <w:p w14:paraId="167394E6" w14:textId="77777777" w:rsidR="00153C66" w:rsidRDefault="00153C66" w:rsidP="00153C66">
            <w:pPr>
              <w:autoSpaceDE w:val="0"/>
              <w:autoSpaceDN w:val="0"/>
              <w:adjustRightInd w:val="0"/>
              <w:ind w:firstLine="567"/>
              <w:jc w:val="both"/>
              <w:rPr>
                <w:sz w:val="22"/>
                <w:szCs w:val="22"/>
              </w:rPr>
            </w:pPr>
            <w:r>
              <w:rPr>
                <w:sz w:val="22"/>
                <w:szCs w:val="22"/>
              </w:rPr>
              <w:t>Абзац 6 пункта 88 Правил</w:t>
            </w:r>
          </w:p>
          <w:p w14:paraId="5C688EA8" w14:textId="09966A9F" w:rsidR="00153C66" w:rsidRDefault="00153C66" w:rsidP="00153C66">
            <w:pPr>
              <w:autoSpaceDE w:val="0"/>
              <w:autoSpaceDN w:val="0"/>
              <w:adjustRightInd w:val="0"/>
              <w:ind w:firstLine="567"/>
              <w:jc w:val="both"/>
              <w:rPr>
                <w:sz w:val="22"/>
                <w:szCs w:val="22"/>
              </w:rPr>
            </w:pPr>
            <w:r w:rsidRPr="00575F83">
              <w:rPr>
                <w:sz w:val="22"/>
                <w:szCs w:val="22"/>
              </w:rPr>
              <w:t>Заявки на обмен инвестиционных паев, а также, при необходимости,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191119, г. Санкт-Петербург, вн.тер.г. Муниципальный округ Семеновский, пр-кт Загородный, д. 46, к. 2, литера Б, кабинет № 125, Общество с ограниченной ответственностью «УК «А-Капитал».</w:t>
            </w:r>
          </w:p>
        </w:tc>
        <w:tc>
          <w:tcPr>
            <w:tcW w:w="4959" w:type="dxa"/>
          </w:tcPr>
          <w:p w14:paraId="4E5E378F" w14:textId="77777777" w:rsidR="00153C66" w:rsidRDefault="00153C66" w:rsidP="00153C66">
            <w:pPr>
              <w:autoSpaceDE w:val="0"/>
              <w:autoSpaceDN w:val="0"/>
              <w:adjustRightInd w:val="0"/>
              <w:ind w:firstLine="567"/>
              <w:jc w:val="both"/>
              <w:rPr>
                <w:sz w:val="22"/>
                <w:szCs w:val="22"/>
              </w:rPr>
            </w:pPr>
            <w:r>
              <w:rPr>
                <w:sz w:val="22"/>
                <w:szCs w:val="22"/>
              </w:rPr>
              <w:t>Абзац 6 пункта 88 Правил</w:t>
            </w:r>
          </w:p>
          <w:p w14:paraId="32359993" w14:textId="1D063DAA" w:rsidR="00153C66" w:rsidRDefault="00153C66" w:rsidP="00153C66">
            <w:pPr>
              <w:autoSpaceDE w:val="0"/>
              <w:autoSpaceDN w:val="0"/>
              <w:adjustRightInd w:val="0"/>
              <w:ind w:firstLine="567"/>
              <w:jc w:val="both"/>
              <w:rPr>
                <w:sz w:val="22"/>
                <w:szCs w:val="22"/>
              </w:rPr>
            </w:pPr>
            <w:r w:rsidRPr="00575F83">
              <w:rPr>
                <w:sz w:val="22"/>
                <w:szCs w:val="22"/>
              </w:rPr>
              <w:t xml:space="preserve">Заявки на обмен инвестиционных паев, а также, при необходимости, комплект документов, необходимых для обмена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153C66">
              <w:rPr>
                <w:b/>
                <w:sz w:val="22"/>
                <w:szCs w:val="22"/>
              </w:rPr>
              <w:t>195112, г. Санкт-Петербург, вн.тер.г. Муниципальный округ Малая Охта, пр</w:t>
            </w:r>
            <w:bookmarkStart w:id="0" w:name="_GoBack"/>
            <w:bookmarkEnd w:id="0"/>
            <w:r w:rsidRPr="00153C66">
              <w:rPr>
                <w:b/>
                <w:sz w:val="22"/>
                <w:szCs w:val="22"/>
              </w:rPr>
              <w:t>-кт Малоохтинский, д. 64, литера В, часть пом. 24Н (комн. 1,3,5)</w:t>
            </w:r>
            <w:r w:rsidRPr="00575F83">
              <w:rPr>
                <w:sz w:val="22"/>
                <w:szCs w:val="22"/>
              </w:rPr>
              <w:t>, Общество с ограниченной ответственностью «УК «А-Капитал».</w:t>
            </w:r>
          </w:p>
        </w:tc>
      </w:tr>
      <w:tr w:rsidR="000F39D2" w:rsidRPr="0039614A" w14:paraId="519E874E" w14:textId="77777777" w:rsidTr="00135182">
        <w:trPr>
          <w:trHeight w:val="1127"/>
        </w:trPr>
        <w:tc>
          <w:tcPr>
            <w:tcW w:w="4959" w:type="dxa"/>
          </w:tcPr>
          <w:p w14:paraId="738DA3A0" w14:textId="45FB9FDB" w:rsidR="000F39D2" w:rsidRDefault="000F39D2" w:rsidP="000F39D2">
            <w:pPr>
              <w:autoSpaceDE w:val="0"/>
              <w:autoSpaceDN w:val="0"/>
              <w:adjustRightInd w:val="0"/>
              <w:ind w:firstLine="567"/>
              <w:jc w:val="both"/>
              <w:rPr>
                <w:sz w:val="22"/>
                <w:szCs w:val="22"/>
              </w:rPr>
            </w:pPr>
            <w:r>
              <w:rPr>
                <w:sz w:val="22"/>
                <w:szCs w:val="22"/>
              </w:rPr>
              <w:t xml:space="preserve">Абзац </w:t>
            </w:r>
            <w:r w:rsidRPr="00412EC0">
              <w:rPr>
                <w:sz w:val="22"/>
                <w:szCs w:val="22"/>
              </w:rPr>
              <w:t>2</w:t>
            </w:r>
            <w:r>
              <w:rPr>
                <w:sz w:val="22"/>
                <w:szCs w:val="22"/>
              </w:rPr>
              <w:t xml:space="preserve"> пункта 88</w:t>
            </w:r>
            <w:r w:rsidRPr="00412EC0">
              <w:rPr>
                <w:sz w:val="22"/>
                <w:szCs w:val="22"/>
              </w:rPr>
              <w:t>(1)</w:t>
            </w:r>
            <w:r>
              <w:rPr>
                <w:sz w:val="22"/>
                <w:szCs w:val="22"/>
              </w:rPr>
              <w:t xml:space="preserve"> Правил</w:t>
            </w:r>
          </w:p>
          <w:p w14:paraId="5B4661B1" w14:textId="4F212837" w:rsidR="000F39D2" w:rsidRPr="000F39D2" w:rsidRDefault="000F39D2" w:rsidP="00412EC0">
            <w:pPr>
              <w:tabs>
                <w:tab w:val="left" w:pos="9072"/>
              </w:tabs>
              <w:autoSpaceDE w:val="0"/>
              <w:autoSpaceDN w:val="0"/>
              <w:adjustRightInd w:val="0"/>
              <w:ind w:firstLine="321"/>
              <w:jc w:val="both"/>
              <w:rPr>
                <w:sz w:val="22"/>
                <w:szCs w:val="22"/>
              </w:rPr>
            </w:pPr>
            <w:r w:rsidRPr="00575F83">
              <w:rPr>
                <w:sz w:val="22"/>
                <w:szCs w:val="22"/>
              </w:rPr>
              <w:t xml:space="preserve">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w:t>
            </w:r>
            <w:r w:rsidRPr="00412EC0">
              <w:rPr>
                <w:b/>
                <w:sz w:val="22"/>
                <w:szCs w:val="22"/>
              </w:rPr>
              <w:t>специализированного программного обеспечения управляющей компании</w:t>
            </w:r>
            <w:r w:rsidRPr="00575F83">
              <w:rPr>
                <w:sz w:val="22"/>
                <w:szCs w:val="22"/>
              </w:rPr>
              <w:t xml:space="preserve"> СРД. При подаче заявки в электронном виде физическое лицо подписывает электронный документ простой электронной подписью.</w:t>
            </w:r>
          </w:p>
        </w:tc>
        <w:tc>
          <w:tcPr>
            <w:tcW w:w="4959" w:type="dxa"/>
          </w:tcPr>
          <w:p w14:paraId="18A3A0C4" w14:textId="77777777" w:rsidR="000F39D2" w:rsidRDefault="000F39D2" w:rsidP="000F39D2">
            <w:pPr>
              <w:autoSpaceDE w:val="0"/>
              <w:autoSpaceDN w:val="0"/>
              <w:adjustRightInd w:val="0"/>
              <w:ind w:firstLine="567"/>
              <w:jc w:val="both"/>
              <w:rPr>
                <w:sz w:val="22"/>
                <w:szCs w:val="22"/>
              </w:rPr>
            </w:pPr>
            <w:r>
              <w:rPr>
                <w:sz w:val="22"/>
                <w:szCs w:val="22"/>
              </w:rPr>
              <w:t xml:space="preserve">Абзац </w:t>
            </w:r>
            <w:r w:rsidRPr="00412EC0">
              <w:rPr>
                <w:sz w:val="22"/>
                <w:szCs w:val="22"/>
              </w:rPr>
              <w:t>2</w:t>
            </w:r>
            <w:r>
              <w:rPr>
                <w:sz w:val="22"/>
                <w:szCs w:val="22"/>
              </w:rPr>
              <w:t xml:space="preserve"> пункта 88</w:t>
            </w:r>
            <w:r w:rsidRPr="00412EC0">
              <w:rPr>
                <w:sz w:val="22"/>
                <w:szCs w:val="22"/>
              </w:rPr>
              <w:t>(1)</w:t>
            </w:r>
            <w:r>
              <w:rPr>
                <w:sz w:val="22"/>
                <w:szCs w:val="22"/>
              </w:rPr>
              <w:t xml:space="preserve"> Правил</w:t>
            </w:r>
          </w:p>
          <w:p w14:paraId="3018CB08" w14:textId="77777777" w:rsidR="000F39D2" w:rsidRPr="00575F83" w:rsidRDefault="000F39D2" w:rsidP="000F39D2">
            <w:pPr>
              <w:tabs>
                <w:tab w:val="left" w:pos="9072"/>
              </w:tabs>
              <w:autoSpaceDE w:val="0"/>
              <w:autoSpaceDN w:val="0"/>
              <w:adjustRightInd w:val="0"/>
              <w:ind w:firstLine="321"/>
              <w:jc w:val="both"/>
              <w:rPr>
                <w:sz w:val="22"/>
                <w:szCs w:val="22"/>
              </w:rPr>
            </w:pPr>
            <w:r w:rsidRPr="00575F83">
              <w:rPr>
                <w:sz w:val="22"/>
                <w:szCs w:val="22"/>
              </w:rPr>
              <w:t>Управляющая компания при личном обращении физического лица предоставляет доступ к услугам по оформлению заявок (в том числе в электронном виде) посредством СРД. При подаче заявки в электронном виде физическое лицо подписывает электронный документ простой электронной подписью.</w:t>
            </w:r>
          </w:p>
          <w:p w14:paraId="361EAB4D" w14:textId="77777777" w:rsidR="000F39D2" w:rsidRDefault="000F39D2" w:rsidP="00153C66">
            <w:pPr>
              <w:autoSpaceDE w:val="0"/>
              <w:autoSpaceDN w:val="0"/>
              <w:adjustRightInd w:val="0"/>
              <w:ind w:firstLine="567"/>
              <w:jc w:val="both"/>
              <w:rPr>
                <w:sz w:val="22"/>
                <w:szCs w:val="22"/>
              </w:rPr>
            </w:pPr>
          </w:p>
        </w:tc>
      </w:tr>
    </w:tbl>
    <w:p w14:paraId="5A91EB0F" w14:textId="77777777" w:rsidR="0039318D" w:rsidRDefault="0039318D" w:rsidP="000860DA"/>
    <w:p w14:paraId="209AB99C" w14:textId="77777777" w:rsidR="008E2215" w:rsidRPr="00674E7F" w:rsidRDefault="008E2215" w:rsidP="000860DA"/>
    <w:p w14:paraId="2AF38B19" w14:textId="77777777" w:rsidR="003E7EF8" w:rsidRDefault="003E7EF8" w:rsidP="003E7EF8">
      <w:r>
        <w:t xml:space="preserve">Генеральный директор  </w:t>
      </w:r>
    </w:p>
    <w:p w14:paraId="3A0AF136" w14:textId="77777777" w:rsidR="008E2215" w:rsidRDefault="003E7EF8" w:rsidP="003E7EF8">
      <w:r>
        <w:t>ООО «</w:t>
      </w:r>
      <w:r w:rsidR="00135182">
        <w:t>УК «А-</w:t>
      </w:r>
      <w:r>
        <w:t xml:space="preserve">Капитал»                                       </w:t>
      </w:r>
      <w:r>
        <w:rPr>
          <w:u w:val="single"/>
        </w:rPr>
        <w:t xml:space="preserve">                                         </w:t>
      </w:r>
      <w:r>
        <w:t xml:space="preserve">   Д.В. Шагардин          </w:t>
      </w:r>
    </w:p>
    <w:p w14:paraId="003E2020" w14:textId="77777777" w:rsidR="008E2215" w:rsidRDefault="008E2215" w:rsidP="003E7EF8"/>
    <w:p w14:paraId="7B0D3BAE" w14:textId="77777777" w:rsidR="008E2215" w:rsidRDefault="008E2215" w:rsidP="00412EC0">
      <w:pPr>
        <w:pStyle w:val="fieldcomment"/>
        <w:rPr>
          <w:sz w:val="12"/>
          <w:szCs w:val="12"/>
          <w:lang w:val="ru-RU"/>
        </w:rPr>
      </w:pPr>
    </w:p>
    <w:p w14:paraId="45B78111" w14:textId="77777777" w:rsidR="008E2215" w:rsidRDefault="008E2215" w:rsidP="008E2215">
      <w:pPr>
        <w:pStyle w:val="fieldcomment"/>
        <w:jc w:val="right"/>
        <w:rPr>
          <w:sz w:val="12"/>
          <w:szCs w:val="12"/>
          <w:lang w:val="ru-RU"/>
        </w:rPr>
      </w:pPr>
    </w:p>
    <w:p w14:paraId="1F0C7389" w14:textId="59E24B82" w:rsidR="00E31508" w:rsidRPr="00FC11D2" w:rsidRDefault="00472446" w:rsidP="00412EC0">
      <w:pPr>
        <w:pStyle w:val="fieldcomment"/>
        <w:spacing w:before="0" w:after="0"/>
        <w:rPr>
          <w:lang w:val="ru-RU"/>
        </w:rPr>
      </w:pPr>
      <w:r w:rsidRPr="00FC11D2">
        <w:rPr>
          <w:lang w:val="ru-RU"/>
        </w:rPr>
        <w:t xml:space="preserve"> </w:t>
      </w:r>
    </w:p>
    <w:sectPr w:rsidR="00E31508" w:rsidRPr="00FC11D2" w:rsidSect="004336D1">
      <w:headerReference w:type="default" r:id="rId10"/>
      <w:footerReference w:type="default" r:id="rId11"/>
      <w:pgSz w:w="11906" w:h="16838"/>
      <w:pgMar w:top="568" w:right="707" w:bottom="709" w:left="1418" w:header="28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F17D" w14:textId="77777777" w:rsidR="00C72C2C" w:rsidRDefault="00C72C2C" w:rsidP="002524B9">
      <w:r>
        <w:separator/>
      </w:r>
    </w:p>
  </w:endnote>
  <w:endnote w:type="continuationSeparator" w:id="0">
    <w:p w14:paraId="340AA0B9" w14:textId="77777777" w:rsidR="00C72C2C" w:rsidRDefault="00C72C2C" w:rsidP="0025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7024" w14:textId="77777777" w:rsidR="002524B9" w:rsidRDefault="002524B9">
    <w:pPr>
      <w:pStyle w:val="aa"/>
      <w:jc w:val="right"/>
    </w:pPr>
  </w:p>
  <w:p w14:paraId="07D40793" w14:textId="77777777" w:rsidR="002524B9" w:rsidRDefault="0025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61B2" w14:textId="77777777" w:rsidR="00C72C2C" w:rsidRDefault="00C72C2C" w:rsidP="002524B9">
      <w:r>
        <w:separator/>
      </w:r>
    </w:p>
  </w:footnote>
  <w:footnote w:type="continuationSeparator" w:id="0">
    <w:p w14:paraId="087355A6" w14:textId="77777777" w:rsidR="00C72C2C" w:rsidRDefault="00C72C2C" w:rsidP="0025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8EAE" w14:textId="3FA14241" w:rsidR="004336D1" w:rsidRDefault="00B0734D" w:rsidP="004336D1">
    <w:pPr>
      <w:pStyle w:val="a8"/>
      <w:spacing w:after="120"/>
      <w:jc w:val="center"/>
    </w:pPr>
    <w:r>
      <w:fldChar w:fldCharType="begin"/>
    </w:r>
    <w:r w:rsidR="0019598D">
      <w:instrText>PAGE   \* MERGEFORMAT</w:instrText>
    </w:r>
    <w:r>
      <w:fldChar w:fldCharType="separate"/>
    </w:r>
    <w:r w:rsidR="00FC11D2">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BE53C8"/>
    <w:multiLevelType w:val="hybridMultilevel"/>
    <w:tmpl w:val="BF661C9A"/>
    <w:lvl w:ilvl="0" w:tplc="A8AA256C">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EB"/>
    <w:rsid w:val="000005AB"/>
    <w:rsid w:val="00004D8D"/>
    <w:rsid w:val="000114EC"/>
    <w:rsid w:val="00015E5A"/>
    <w:rsid w:val="00022D60"/>
    <w:rsid w:val="00037BAA"/>
    <w:rsid w:val="000452EF"/>
    <w:rsid w:val="000463B3"/>
    <w:rsid w:val="0005428D"/>
    <w:rsid w:val="00056B90"/>
    <w:rsid w:val="00067AF9"/>
    <w:rsid w:val="00073C46"/>
    <w:rsid w:val="00077D56"/>
    <w:rsid w:val="00081AED"/>
    <w:rsid w:val="000860DA"/>
    <w:rsid w:val="000A10B8"/>
    <w:rsid w:val="000A4E50"/>
    <w:rsid w:val="000B34E5"/>
    <w:rsid w:val="000B7D62"/>
    <w:rsid w:val="000C145B"/>
    <w:rsid w:val="000C2362"/>
    <w:rsid w:val="000C29D3"/>
    <w:rsid w:val="000C5F00"/>
    <w:rsid w:val="000D4A90"/>
    <w:rsid w:val="000D59BC"/>
    <w:rsid w:val="000F273D"/>
    <w:rsid w:val="000F39D2"/>
    <w:rsid w:val="00114DE1"/>
    <w:rsid w:val="00135182"/>
    <w:rsid w:val="00136193"/>
    <w:rsid w:val="00143C34"/>
    <w:rsid w:val="00153C66"/>
    <w:rsid w:val="00155200"/>
    <w:rsid w:val="00165A90"/>
    <w:rsid w:val="0016751C"/>
    <w:rsid w:val="00174AB7"/>
    <w:rsid w:val="001943EC"/>
    <w:rsid w:val="0019598D"/>
    <w:rsid w:val="001A73C8"/>
    <w:rsid w:val="001B1D44"/>
    <w:rsid w:val="001C4AAE"/>
    <w:rsid w:val="001C4B16"/>
    <w:rsid w:val="001D109D"/>
    <w:rsid w:val="001D5126"/>
    <w:rsid w:val="001D5223"/>
    <w:rsid w:val="001E37A5"/>
    <w:rsid w:val="001E5234"/>
    <w:rsid w:val="001E68CD"/>
    <w:rsid w:val="001F396B"/>
    <w:rsid w:val="001F5908"/>
    <w:rsid w:val="0020223D"/>
    <w:rsid w:val="00206A55"/>
    <w:rsid w:val="00214F65"/>
    <w:rsid w:val="002241C7"/>
    <w:rsid w:val="00224FE2"/>
    <w:rsid w:val="002475C5"/>
    <w:rsid w:val="00247B32"/>
    <w:rsid w:val="002524B9"/>
    <w:rsid w:val="0025258A"/>
    <w:rsid w:val="00252D45"/>
    <w:rsid w:val="00277D12"/>
    <w:rsid w:val="00282722"/>
    <w:rsid w:val="00292A3A"/>
    <w:rsid w:val="002A0F13"/>
    <w:rsid w:val="002A76C9"/>
    <w:rsid w:val="002B08CD"/>
    <w:rsid w:val="002B5195"/>
    <w:rsid w:val="002B56BA"/>
    <w:rsid w:val="002C266D"/>
    <w:rsid w:val="002C2AE6"/>
    <w:rsid w:val="002D2941"/>
    <w:rsid w:val="002E2543"/>
    <w:rsid w:val="002E44A8"/>
    <w:rsid w:val="002F3592"/>
    <w:rsid w:val="002F505E"/>
    <w:rsid w:val="00302CC5"/>
    <w:rsid w:val="0030690D"/>
    <w:rsid w:val="00310107"/>
    <w:rsid w:val="00320961"/>
    <w:rsid w:val="00325948"/>
    <w:rsid w:val="00326732"/>
    <w:rsid w:val="00331E5D"/>
    <w:rsid w:val="003416CE"/>
    <w:rsid w:val="003457F7"/>
    <w:rsid w:val="003544FD"/>
    <w:rsid w:val="003570EB"/>
    <w:rsid w:val="0037106A"/>
    <w:rsid w:val="003761A6"/>
    <w:rsid w:val="0039318D"/>
    <w:rsid w:val="0039614A"/>
    <w:rsid w:val="003A7665"/>
    <w:rsid w:val="003A7AE6"/>
    <w:rsid w:val="003C2F4D"/>
    <w:rsid w:val="003D542F"/>
    <w:rsid w:val="003E7EF8"/>
    <w:rsid w:val="003F5521"/>
    <w:rsid w:val="00402742"/>
    <w:rsid w:val="00406509"/>
    <w:rsid w:val="00411357"/>
    <w:rsid w:val="00412EC0"/>
    <w:rsid w:val="004336D1"/>
    <w:rsid w:val="00434318"/>
    <w:rsid w:val="00465939"/>
    <w:rsid w:val="00471075"/>
    <w:rsid w:val="00472446"/>
    <w:rsid w:val="0048290E"/>
    <w:rsid w:val="00486837"/>
    <w:rsid w:val="004A4CD6"/>
    <w:rsid w:val="004B291C"/>
    <w:rsid w:val="004B374D"/>
    <w:rsid w:val="004C1DBD"/>
    <w:rsid w:val="004D7666"/>
    <w:rsid w:val="004E5390"/>
    <w:rsid w:val="004F2520"/>
    <w:rsid w:val="00505B1B"/>
    <w:rsid w:val="00527C1D"/>
    <w:rsid w:val="005343F0"/>
    <w:rsid w:val="00534E98"/>
    <w:rsid w:val="0054305E"/>
    <w:rsid w:val="00556C27"/>
    <w:rsid w:val="0058075A"/>
    <w:rsid w:val="005938DA"/>
    <w:rsid w:val="0059435E"/>
    <w:rsid w:val="00597762"/>
    <w:rsid w:val="00597C0C"/>
    <w:rsid w:val="005A3726"/>
    <w:rsid w:val="005C062C"/>
    <w:rsid w:val="005C267D"/>
    <w:rsid w:val="005D5CA2"/>
    <w:rsid w:val="005E43F9"/>
    <w:rsid w:val="005F6DD5"/>
    <w:rsid w:val="00615A90"/>
    <w:rsid w:val="00616F8B"/>
    <w:rsid w:val="00636D1E"/>
    <w:rsid w:val="00642913"/>
    <w:rsid w:val="006453BD"/>
    <w:rsid w:val="00653E29"/>
    <w:rsid w:val="0065640B"/>
    <w:rsid w:val="00662B57"/>
    <w:rsid w:val="00664A66"/>
    <w:rsid w:val="0067487B"/>
    <w:rsid w:val="00674E7F"/>
    <w:rsid w:val="006775F7"/>
    <w:rsid w:val="0068037A"/>
    <w:rsid w:val="00681DBD"/>
    <w:rsid w:val="00684EA7"/>
    <w:rsid w:val="00692029"/>
    <w:rsid w:val="006A0A6E"/>
    <w:rsid w:val="006B64F2"/>
    <w:rsid w:val="006B7876"/>
    <w:rsid w:val="006B7EF7"/>
    <w:rsid w:val="006C4005"/>
    <w:rsid w:val="006C4F3B"/>
    <w:rsid w:val="006C7B0C"/>
    <w:rsid w:val="006D1824"/>
    <w:rsid w:val="006D195D"/>
    <w:rsid w:val="006D62D7"/>
    <w:rsid w:val="006D6C19"/>
    <w:rsid w:val="006E73B1"/>
    <w:rsid w:val="006F12CD"/>
    <w:rsid w:val="006F4E0C"/>
    <w:rsid w:val="006F569A"/>
    <w:rsid w:val="00703C16"/>
    <w:rsid w:val="007065B5"/>
    <w:rsid w:val="00723A7D"/>
    <w:rsid w:val="00726950"/>
    <w:rsid w:val="00751358"/>
    <w:rsid w:val="00756F45"/>
    <w:rsid w:val="00765366"/>
    <w:rsid w:val="00765E08"/>
    <w:rsid w:val="00776191"/>
    <w:rsid w:val="0078315C"/>
    <w:rsid w:val="007845DB"/>
    <w:rsid w:val="00792378"/>
    <w:rsid w:val="007946BF"/>
    <w:rsid w:val="00797582"/>
    <w:rsid w:val="007A469E"/>
    <w:rsid w:val="007B4327"/>
    <w:rsid w:val="007B678B"/>
    <w:rsid w:val="007C2092"/>
    <w:rsid w:val="007C3763"/>
    <w:rsid w:val="007F0B49"/>
    <w:rsid w:val="007F4884"/>
    <w:rsid w:val="007F7AD9"/>
    <w:rsid w:val="0080467F"/>
    <w:rsid w:val="0081230A"/>
    <w:rsid w:val="00823856"/>
    <w:rsid w:val="00825F25"/>
    <w:rsid w:val="00833E7C"/>
    <w:rsid w:val="0084186D"/>
    <w:rsid w:val="0084217A"/>
    <w:rsid w:val="00844168"/>
    <w:rsid w:val="00846C97"/>
    <w:rsid w:val="00847560"/>
    <w:rsid w:val="008516CB"/>
    <w:rsid w:val="00853245"/>
    <w:rsid w:val="00872E7A"/>
    <w:rsid w:val="00881E87"/>
    <w:rsid w:val="00886A64"/>
    <w:rsid w:val="00893C30"/>
    <w:rsid w:val="00897A2F"/>
    <w:rsid w:val="008B35D9"/>
    <w:rsid w:val="008B706A"/>
    <w:rsid w:val="008C6D0A"/>
    <w:rsid w:val="008D5A18"/>
    <w:rsid w:val="008E2215"/>
    <w:rsid w:val="008E27E5"/>
    <w:rsid w:val="008E5069"/>
    <w:rsid w:val="008F061F"/>
    <w:rsid w:val="008F2F3B"/>
    <w:rsid w:val="008F3EFA"/>
    <w:rsid w:val="009030D6"/>
    <w:rsid w:val="009039AA"/>
    <w:rsid w:val="00913299"/>
    <w:rsid w:val="009349FC"/>
    <w:rsid w:val="009511E7"/>
    <w:rsid w:val="009667FA"/>
    <w:rsid w:val="00970052"/>
    <w:rsid w:val="009853B2"/>
    <w:rsid w:val="009917CB"/>
    <w:rsid w:val="009B17EA"/>
    <w:rsid w:val="009B5689"/>
    <w:rsid w:val="009B6E7A"/>
    <w:rsid w:val="009C1C8B"/>
    <w:rsid w:val="009C4F43"/>
    <w:rsid w:val="009C776B"/>
    <w:rsid w:val="009D061E"/>
    <w:rsid w:val="009D55D3"/>
    <w:rsid w:val="009D5739"/>
    <w:rsid w:val="009F1D8E"/>
    <w:rsid w:val="009F4278"/>
    <w:rsid w:val="009F42F6"/>
    <w:rsid w:val="00A0578D"/>
    <w:rsid w:val="00A06199"/>
    <w:rsid w:val="00A07717"/>
    <w:rsid w:val="00A1089A"/>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034F"/>
    <w:rsid w:val="00AA3C96"/>
    <w:rsid w:val="00AB750F"/>
    <w:rsid w:val="00AC5D2A"/>
    <w:rsid w:val="00AE140E"/>
    <w:rsid w:val="00AF0244"/>
    <w:rsid w:val="00AF1A61"/>
    <w:rsid w:val="00B00AFB"/>
    <w:rsid w:val="00B00D04"/>
    <w:rsid w:val="00B021B4"/>
    <w:rsid w:val="00B0734D"/>
    <w:rsid w:val="00B155CF"/>
    <w:rsid w:val="00B156A3"/>
    <w:rsid w:val="00B20392"/>
    <w:rsid w:val="00B55307"/>
    <w:rsid w:val="00B63F9A"/>
    <w:rsid w:val="00B71831"/>
    <w:rsid w:val="00B9283B"/>
    <w:rsid w:val="00B9462F"/>
    <w:rsid w:val="00B95F74"/>
    <w:rsid w:val="00BB0D76"/>
    <w:rsid w:val="00BC278E"/>
    <w:rsid w:val="00BD3D2E"/>
    <w:rsid w:val="00BD4E6F"/>
    <w:rsid w:val="00BD59A3"/>
    <w:rsid w:val="00C14511"/>
    <w:rsid w:val="00C331F6"/>
    <w:rsid w:val="00C33848"/>
    <w:rsid w:val="00C4086A"/>
    <w:rsid w:val="00C41C62"/>
    <w:rsid w:val="00C56C8B"/>
    <w:rsid w:val="00C72C2C"/>
    <w:rsid w:val="00C97A56"/>
    <w:rsid w:val="00CB24AB"/>
    <w:rsid w:val="00CC03BC"/>
    <w:rsid w:val="00CC0856"/>
    <w:rsid w:val="00CC3B10"/>
    <w:rsid w:val="00CD19A6"/>
    <w:rsid w:val="00CE0F06"/>
    <w:rsid w:val="00CE111E"/>
    <w:rsid w:val="00CE2749"/>
    <w:rsid w:val="00CE5ED0"/>
    <w:rsid w:val="00CF3408"/>
    <w:rsid w:val="00CF78D9"/>
    <w:rsid w:val="00D01C8A"/>
    <w:rsid w:val="00D17E5C"/>
    <w:rsid w:val="00D201F0"/>
    <w:rsid w:val="00D2480A"/>
    <w:rsid w:val="00D31A1A"/>
    <w:rsid w:val="00D35A2C"/>
    <w:rsid w:val="00D405DD"/>
    <w:rsid w:val="00D46C4C"/>
    <w:rsid w:val="00D50806"/>
    <w:rsid w:val="00D640C4"/>
    <w:rsid w:val="00D7516D"/>
    <w:rsid w:val="00D768C1"/>
    <w:rsid w:val="00D81DAA"/>
    <w:rsid w:val="00D84E72"/>
    <w:rsid w:val="00D85FB0"/>
    <w:rsid w:val="00D87524"/>
    <w:rsid w:val="00D87D8F"/>
    <w:rsid w:val="00D91595"/>
    <w:rsid w:val="00D95AA0"/>
    <w:rsid w:val="00D97383"/>
    <w:rsid w:val="00DA37CB"/>
    <w:rsid w:val="00DA7EA2"/>
    <w:rsid w:val="00DB5B57"/>
    <w:rsid w:val="00DC07FA"/>
    <w:rsid w:val="00DC60EC"/>
    <w:rsid w:val="00DD4617"/>
    <w:rsid w:val="00DD6801"/>
    <w:rsid w:val="00DF02C0"/>
    <w:rsid w:val="00E04A3E"/>
    <w:rsid w:val="00E05106"/>
    <w:rsid w:val="00E05A74"/>
    <w:rsid w:val="00E05C78"/>
    <w:rsid w:val="00E13C07"/>
    <w:rsid w:val="00E2271F"/>
    <w:rsid w:val="00E266E9"/>
    <w:rsid w:val="00E2674D"/>
    <w:rsid w:val="00E306D4"/>
    <w:rsid w:val="00E31508"/>
    <w:rsid w:val="00E54E00"/>
    <w:rsid w:val="00E62567"/>
    <w:rsid w:val="00E63EA7"/>
    <w:rsid w:val="00E742C2"/>
    <w:rsid w:val="00E75755"/>
    <w:rsid w:val="00E75AA8"/>
    <w:rsid w:val="00E9237F"/>
    <w:rsid w:val="00E93822"/>
    <w:rsid w:val="00EA5F10"/>
    <w:rsid w:val="00EA631D"/>
    <w:rsid w:val="00EB3DD5"/>
    <w:rsid w:val="00ED5DE4"/>
    <w:rsid w:val="00EE0BEB"/>
    <w:rsid w:val="00EE20BB"/>
    <w:rsid w:val="00EE2997"/>
    <w:rsid w:val="00EE3489"/>
    <w:rsid w:val="00EF08F7"/>
    <w:rsid w:val="00EF7364"/>
    <w:rsid w:val="00F06060"/>
    <w:rsid w:val="00F07A4C"/>
    <w:rsid w:val="00F11205"/>
    <w:rsid w:val="00F20EDA"/>
    <w:rsid w:val="00F2416F"/>
    <w:rsid w:val="00F34DFB"/>
    <w:rsid w:val="00F45BE3"/>
    <w:rsid w:val="00F46716"/>
    <w:rsid w:val="00F57AB8"/>
    <w:rsid w:val="00F62718"/>
    <w:rsid w:val="00F70011"/>
    <w:rsid w:val="00F81EFD"/>
    <w:rsid w:val="00F82DD6"/>
    <w:rsid w:val="00F86CE5"/>
    <w:rsid w:val="00F9419B"/>
    <w:rsid w:val="00FB503B"/>
    <w:rsid w:val="00FC11D2"/>
    <w:rsid w:val="00FC3FE6"/>
    <w:rsid w:val="00FC71FC"/>
    <w:rsid w:val="00FE384D"/>
    <w:rsid w:val="00FE556A"/>
    <w:rsid w:val="00FF735F"/>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571B2"/>
  <w15:docId w15:val="{76988DD3-4BE7-43D1-8A46-55F131F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9D2"/>
    <w:pPr>
      <w:spacing w:after="0" w:line="240" w:lineRule="auto"/>
    </w:pPr>
    <w:rPr>
      <w:sz w:val="24"/>
      <w:szCs w:val="24"/>
    </w:rPr>
  </w:style>
  <w:style w:type="paragraph" w:styleId="1">
    <w:name w:val="heading 1"/>
    <w:basedOn w:val="a"/>
    <w:link w:val="10"/>
    <w:qFormat/>
    <w:locked/>
    <w:rsid w:val="008E2215"/>
    <w:pPr>
      <w:spacing w:before="375" w:after="375"/>
      <w:jc w:val="center"/>
      <w:outlineLvl w:val="0"/>
    </w:pPr>
    <w:rPr>
      <w:rFonts w:ascii="Arial" w:hAnsi="Arial" w:cs="Arial"/>
      <w:b/>
      <w:bCs/>
      <w:kern w:val="36"/>
      <w:lang w:val="en-US" w:eastAsia="en-US"/>
    </w:rPr>
  </w:style>
  <w:style w:type="paragraph" w:styleId="3">
    <w:name w:val="heading 3"/>
    <w:basedOn w:val="a"/>
    <w:link w:val="30"/>
    <w:qFormat/>
    <w:locked/>
    <w:rsid w:val="008E2215"/>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character" w:customStyle="1" w:styleId="a5">
    <w:name w:val="Заголовок Знак"/>
    <w:basedOn w:val="a0"/>
    <w:link w:val="a4"/>
    <w:uiPriority w:val="99"/>
    <w:locked/>
    <w:rsid w:val="006B64F2"/>
    <w:rPr>
      <w:rFonts w:ascii="Arial" w:hAnsi="Arial" w:cs="Arial"/>
      <w:sz w:val="24"/>
      <w:szCs w:val="24"/>
    </w:rPr>
  </w:style>
  <w:style w:type="paragraph" w:styleId="a6">
    <w:name w:val="Balloon Text"/>
    <w:basedOn w:val="a"/>
    <w:link w:val="a7"/>
    <w:uiPriority w:val="99"/>
    <w:rsid w:val="00A96243"/>
    <w:rPr>
      <w:rFonts w:ascii="Segoe UI" w:hAnsi="Segoe UI" w:cs="Segoe UI"/>
      <w:sz w:val="18"/>
      <w:szCs w:val="18"/>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rsid w:val="00D81DAA"/>
    <w:rPr>
      <w:sz w:val="20"/>
      <w:lang w:eastAsia="en-US"/>
    </w:rPr>
  </w:style>
  <w:style w:type="character" w:customStyle="1" w:styleId="ad">
    <w:name w:val="Текст сноски Знак"/>
    <w:basedOn w:val="a0"/>
    <w:link w:val="ac"/>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 w:type="paragraph" w:styleId="af">
    <w:name w:val="List Paragraph"/>
    <w:basedOn w:val="a"/>
    <w:uiPriority w:val="34"/>
    <w:qFormat/>
    <w:rsid w:val="003544FD"/>
    <w:pPr>
      <w:ind w:left="720"/>
      <w:contextualSpacing/>
    </w:pPr>
  </w:style>
  <w:style w:type="paragraph" w:styleId="af0">
    <w:name w:val="Body Text Indent"/>
    <w:basedOn w:val="a"/>
    <w:link w:val="af1"/>
    <w:uiPriority w:val="99"/>
    <w:rsid w:val="004336D1"/>
    <w:pPr>
      <w:spacing w:after="120"/>
      <w:ind w:left="283"/>
    </w:pPr>
    <w:rPr>
      <w:lang w:eastAsia="en-US"/>
    </w:rPr>
  </w:style>
  <w:style w:type="character" w:customStyle="1" w:styleId="af1">
    <w:name w:val="Основной текст с отступом Знак"/>
    <w:basedOn w:val="a0"/>
    <w:link w:val="af0"/>
    <w:uiPriority w:val="99"/>
    <w:rsid w:val="004336D1"/>
    <w:rPr>
      <w:sz w:val="24"/>
      <w:szCs w:val="24"/>
      <w:lang w:eastAsia="en-US"/>
    </w:rPr>
  </w:style>
  <w:style w:type="paragraph" w:styleId="af2">
    <w:name w:val="Body Text"/>
    <w:basedOn w:val="a"/>
    <w:link w:val="af3"/>
    <w:uiPriority w:val="99"/>
    <w:rsid w:val="00797582"/>
    <w:pPr>
      <w:spacing w:after="120"/>
    </w:pPr>
    <w:rPr>
      <w:lang w:eastAsia="en-US"/>
    </w:rPr>
  </w:style>
  <w:style w:type="character" w:customStyle="1" w:styleId="af3">
    <w:name w:val="Основной текст Знак"/>
    <w:basedOn w:val="a0"/>
    <w:link w:val="af2"/>
    <w:uiPriority w:val="99"/>
    <w:rsid w:val="00797582"/>
    <w:rPr>
      <w:sz w:val="24"/>
      <w:szCs w:val="24"/>
      <w:lang w:eastAsia="en-US"/>
    </w:rPr>
  </w:style>
  <w:style w:type="character" w:customStyle="1" w:styleId="10">
    <w:name w:val="Заголовок 1 Знак"/>
    <w:basedOn w:val="a0"/>
    <w:link w:val="1"/>
    <w:rsid w:val="008E2215"/>
    <w:rPr>
      <w:rFonts w:ascii="Arial" w:hAnsi="Arial" w:cs="Arial"/>
      <w:b/>
      <w:bCs/>
      <w:kern w:val="36"/>
      <w:sz w:val="24"/>
      <w:szCs w:val="24"/>
      <w:lang w:val="en-US" w:eastAsia="en-US"/>
    </w:rPr>
  </w:style>
  <w:style w:type="character" w:customStyle="1" w:styleId="30">
    <w:name w:val="Заголовок 3 Знак"/>
    <w:basedOn w:val="a0"/>
    <w:link w:val="3"/>
    <w:rsid w:val="008E2215"/>
    <w:rPr>
      <w:rFonts w:ascii="Arial" w:hAnsi="Arial" w:cs="Arial"/>
      <w:b/>
      <w:bCs/>
      <w:sz w:val="18"/>
      <w:szCs w:val="18"/>
      <w:shd w:val="clear" w:color="auto" w:fill="C0C0C0"/>
      <w:lang w:val="en-US" w:eastAsia="en-US"/>
    </w:rPr>
  </w:style>
  <w:style w:type="paragraph" w:styleId="af4">
    <w:name w:val="Normal (Web)"/>
    <w:basedOn w:val="a"/>
    <w:rsid w:val="008E2215"/>
    <w:pPr>
      <w:spacing w:before="45" w:after="45"/>
    </w:pPr>
    <w:rPr>
      <w:rFonts w:ascii="Arial" w:hAnsi="Arial" w:cs="Arial"/>
      <w:sz w:val="16"/>
      <w:szCs w:val="16"/>
      <w:lang w:val="en-US" w:eastAsia="en-US"/>
    </w:rPr>
  </w:style>
  <w:style w:type="paragraph" w:customStyle="1" w:styleId="fieldcomment">
    <w:name w:val="field_comment"/>
    <w:basedOn w:val="a"/>
    <w:rsid w:val="008E2215"/>
    <w:pPr>
      <w:spacing w:before="45" w:after="45"/>
    </w:pPr>
    <w:rPr>
      <w:rFonts w:ascii="Arial" w:hAnsi="Arial" w:cs="Arial"/>
      <w:sz w:val="9"/>
      <w:szCs w:val="9"/>
      <w:lang w:val="en-US" w:eastAsia="en-US"/>
    </w:rPr>
  </w:style>
  <w:style w:type="paragraph" w:customStyle="1" w:styleId="fieldname">
    <w:name w:val="field_name"/>
    <w:basedOn w:val="a"/>
    <w:rsid w:val="008E2215"/>
    <w:pPr>
      <w:spacing w:before="45" w:after="45"/>
      <w:jc w:val="right"/>
    </w:pPr>
    <w:rPr>
      <w:rFonts w:ascii="Arial" w:hAnsi="Arial" w:cs="Arial"/>
      <w:b/>
      <w:bCs/>
      <w:sz w:val="16"/>
      <w:szCs w:val="16"/>
      <w:lang w:val="en-US" w:eastAsia="en-US"/>
    </w:rPr>
  </w:style>
  <w:style w:type="paragraph" w:customStyle="1" w:styleId="signfield">
    <w:name w:val="sign_field"/>
    <w:basedOn w:val="a"/>
    <w:rsid w:val="008E2215"/>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8E2215"/>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8E2215"/>
    <w:pPr>
      <w:spacing w:before="45" w:after="45"/>
    </w:pPr>
    <w:rPr>
      <w:rFonts w:ascii="Arial" w:hAnsi="Arial" w:cs="Arial"/>
      <w:sz w:val="16"/>
      <w:szCs w:val="16"/>
      <w:lang w:val="en-US" w:eastAsia="en-US"/>
    </w:rPr>
  </w:style>
  <w:style w:type="character" w:customStyle="1" w:styleId="fieldcomment1">
    <w:name w:val="field_comment1"/>
    <w:basedOn w:val="a0"/>
    <w:rsid w:val="008E2215"/>
    <w:rPr>
      <w:rFonts w:cs="Times New Roman"/>
      <w:sz w:val="9"/>
      <w:szCs w:val="9"/>
    </w:rPr>
  </w:style>
  <w:style w:type="character" w:styleId="af5">
    <w:name w:val="footnote reference"/>
    <w:rsid w:val="008E22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8804">
      <w:marLeft w:val="0"/>
      <w:marRight w:val="0"/>
      <w:marTop w:val="0"/>
      <w:marBottom w:val="0"/>
      <w:divBdr>
        <w:top w:val="none" w:sz="0" w:space="0" w:color="auto"/>
        <w:left w:val="none" w:sz="0" w:space="0" w:color="auto"/>
        <w:bottom w:val="none" w:sz="0" w:space="0" w:color="auto"/>
        <w:right w:val="none" w:sz="0" w:space="0" w:color="auto"/>
      </w:divBdr>
    </w:div>
    <w:div w:id="289938805">
      <w:marLeft w:val="0"/>
      <w:marRight w:val="0"/>
      <w:marTop w:val="0"/>
      <w:marBottom w:val="0"/>
      <w:divBdr>
        <w:top w:val="none" w:sz="0" w:space="0" w:color="auto"/>
        <w:left w:val="none" w:sz="0" w:space="0" w:color="auto"/>
        <w:bottom w:val="none" w:sz="0" w:space="0" w:color="auto"/>
        <w:right w:val="none" w:sz="0" w:space="0" w:color="auto"/>
      </w:divBdr>
    </w:div>
    <w:div w:id="289938806">
      <w:marLeft w:val="0"/>
      <w:marRight w:val="0"/>
      <w:marTop w:val="0"/>
      <w:marBottom w:val="0"/>
      <w:divBdr>
        <w:top w:val="none" w:sz="0" w:space="0" w:color="auto"/>
        <w:left w:val="none" w:sz="0" w:space="0" w:color="auto"/>
        <w:bottom w:val="none" w:sz="0" w:space="0" w:color="auto"/>
        <w:right w:val="none" w:sz="0" w:space="0" w:color="auto"/>
      </w:divBdr>
    </w:div>
    <w:div w:id="289938807">
      <w:marLeft w:val="0"/>
      <w:marRight w:val="0"/>
      <w:marTop w:val="0"/>
      <w:marBottom w:val="0"/>
      <w:divBdr>
        <w:top w:val="none" w:sz="0" w:space="0" w:color="auto"/>
        <w:left w:val="none" w:sz="0" w:space="0" w:color="auto"/>
        <w:bottom w:val="none" w:sz="0" w:space="0" w:color="auto"/>
        <w:right w:val="none" w:sz="0" w:space="0" w:color="auto"/>
      </w:divBdr>
    </w:div>
    <w:div w:id="289938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3289-9608-4D1D-9D0A-E2037BD98471}">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F80CE60F-9544-4E0A-A258-84EB76D8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45D39D-5A1A-4DCA-8354-8445E643C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ИЗМЕНЕНИЯ И ДОПОЛНЕНИЯ</vt:lpstr>
    </vt:vector>
  </TitlesOfParts>
  <Company>ЗАО "УК "Рацио-капитал"</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Артемьева Юлия Сергеевна</cp:lastModifiedBy>
  <cp:revision>9</cp:revision>
  <cp:lastPrinted>2021-06-15T12:57:00Z</cp:lastPrinted>
  <dcterms:created xsi:type="dcterms:W3CDTF">2024-07-15T12:50:00Z</dcterms:created>
  <dcterms:modified xsi:type="dcterms:W3CDTF">2025-01-22T08:56:00Z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