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F6698" w14:textId="658F3417" w:rsidR="00CF78D9" w:rsidRDefault="00CF78D9" w:rsidP="000860DA">
      <w:pPr>
        <w:rPr>
          <w:b/>
          <w:bCs/>
          <w:sz w:val="22"/>
          <w:szCs w:val="22"/>
        </w:rPr>
      </w:pPr>
    </w:p>
    <w:p w14:paraId="41CE48FF" w14:textId="77777777" w:rsidR="00153C66" w:rsidRDefault="00153C66" w:rsidP="000860DA">
      <w:pPr>
        <w:rPr>
          <w:b/>
        </w:rPr>
      </w:pPr>
    </w:p>
    <w:p w14:paraId="3F0FBF05" w14:textId="321A295F"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9E5CD8">
        <w:rPr>
          <w:b/>
          <w:sz w:val="28"/>
          <w:szCs w:val="28"/>
        </w:rPr>
        <w:t>3</w:t>
      </w:r>
      <w:r w:rsidR="00153C66">
        <w:rPr>
          <w:b/>
          <w:sz w:val="28"/>
          <w:szCs w:val="28"/>
        </w:rPr>
        <w:t>4</w:t>
      </w:r>
    </w:p>
    <w:p w14:paraId="5A1FE893" w14:textId="77777777"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14:paraId="152A2D5E" w14:textId="77777777"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14:paraId="0E1B1A16" w14:textId="77777777" w:rsidR="00C33848" w:rsidRPr="005A3726" w:rsidRDefault="00C33848" w:rsidP="00C33848">
      <w:pPr>
        <w:jc w:val="center"/>
        <w:rPr>
          <w:b/>
          <w:bCs/>
          <w:sz w:val="28"/>
          <w:szCs w:val="28"/>
        </w:rPr>
      </w:pPr>
      <w:r w:rsidRPr="005A3726">
        <w:rPr>
          <w:b/>
          <w:bCs/>
          <w:sz w:val="28"/>
          <w:szCs w:val="28"/>
        </w:rPr>
        <w:t>рыночных финансовых инструментов</w:t>
      </w:r>
    </w:p>
    <w:p w14:paraId="40C4748A" w14:textId="547B050F" w:rsidR="00C33848" w:rsidRPr="005A3726" w:rsidRDefault="00C33848" w:rsidP="00BB0D76">
      <w:pPr>
        <w:jc w:val="center"/>
        <w:rPr>
          <w:b/>
          <w:bCs/>
          <w:sz w:val="28"/>
          <w:szCs w:val="28"/>
        </w:rPr>
      </w:pPr>
      <w:r w:rsidRPr="005A3726">
        <w:rPr>
          <w:b/>
          <w:bCs/>
          <w:sz w:val="28"/>
          <w:szCs w:val="28"/>
        </w:rPr>
        <w:t>«</w:t>
      </w:r>
      <w:r w:rsidR="009917CB" w:rsidRPr="009917CB">
        <w:rPr>
          <w:b/>
          <w:bCs/>
          <w:sz w:val="28"/>
          <w:szCs w:val="28"/>
        </w:rPr>
        <w:t xml:space="preserve">А-Капитал </w:t>
      </w:r>
      <w:r w:rsidR="009E5CD8">
        <w:rPr>
          <w:b/>
          <w:bCs/>
          <w:sz w:val="28"/>
          <w:szCs w:val="28"/>
        </w:rPr>
        <w:t>Валютные облигации</w:t>
      </w:r>
      <w:r w:rsidRPr="005A3726">
        <w:rPr>
          <w:b/>
          <w:bCs/>
          <w:sz w:val="28"/>
          <w:szCs w:val="28"/>
        </w:rPr>
        <w:t>»</w:t>
      </w:r>
    </w:p>
    <w:p w14:paraId="4BB7B4F6" w14:textId="7D99B915" w:rsidR="00C33848" w:rsidRPr="005A3726" w:rsidRDefault="00C33848" w:rsidP="00C331F6">
      <w:pPr>
        <w:spacing w:after="120"/>
        <w:jc w:val="center"/>
        <w:rPr>
          <w:bCs/>
        </w:rPr>
      </w:pPr>
      <w:r w:rsidRPr="005A3726">
        <w:rPr>
          <w:bCs/>
        </w:rPr>
        <w:t>(</w:t>
      </w:r>
      <w:r w:rsidR="009E5CD8" w:rsidRPr="004E5574">
        <w:t>Правила доверительного управления фондом зарегистрированы ФСФР России за № 0211-58233714 от 12.05.2004</w:t>
      </w:r>
      <w:r w:rsidRPr="005A3726">
        <w:rPr>
          <w:b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65640B" w:rsidRPr="0039614A" w14:paraId="451EB7CC" w14:textId="77777777" w:rsidTr="004F2520">
        <w:tc>
          <w:tcPr>
            <w:tcW w:w="4959" w:type="dxa"/>
          </w:tcPr>
          <w:p w14:paraId="61A6319C" w14:textId="77777777" w:rsidR="0065640B" w:rsidRPr="0039614A" w:rsidRDefault="0065640B" w:rsidP="004F2520">
            <w:pPr>
              <w:jc w:val="center"/>
            </w:pPr>
            <w:r w:rsidRPr="0039614A">
              <w:rPr>
                <w:sz w:val="22"/>
                <w:szCs w:val="22"/>
              </w:rPr>
              <w:t>СТАРАЯ РЕДАКЦИЯ</w:t>
            </w:r>
          </w:p>
        </w:tc>
        <w:tc>
          <w:tcPr>
            <w:tcW w:w="4959" w:type="dxa"/>
          </w:tcPr>
          <w:p w14:paraId="3FCA0B42" w14:textId="77777777" w:rsidR="0065640B" w:rsidRPr="0039614A" w:rsidRDefault="0065640B" w:rsidP="004F2520">
            <w:pPr>
              <w:jc w:val="center"/>
            </w:pPr>
            <w:r w:rsidRPr="0039614A">
              <w:rPr>
                <w:sz w:val="22"/>
                <w:szCs w:val="22"/>
              </w:rPr>
              <w:t>НОВАЯ РЕДАКЦИЯ</w:t>
            </w:r>
          </w:p>
        </w:tc>
      </w:tr>
      <w:tr w:rsidR="004336D1" w:rsidRPr="0039614A" w14:paraId="42943619" w14:textId="77777777" w:rsidTr="00135182">
        <w:trPr>
          <w:trHeight w:val="1127"/>
        </w:trPr>
        <w:tc>
          <w:tcPr>
            <w:tcW w:w="4959" w:type="dxa"/>
          </w:tcPr>
          <w:p w14:paraId="1EEC9AB9" w14:textId="77777777" w:rsidR="00F910F5" w:rsidRPr="000A6AA7" w:rsidRDefault="00153C66" w:rsidP="00F910F5">
            <w:pPr>
              <w:tabs>
                <w:tab w:val="left" w:pos="9072"/>
              </w:tabs>
              <w:spacing w:before="120" w:line="240" w:lineRule="atLeast"/>
              <w:ind w:firstLine="425"/>
              <w:jc w:val="both"/>
            </w:pPr>
            <w:r w:rsidRPr="004336D1">
              <w:t xml:space="preserve"> </w:t>
            </w:r>
            <w:r w:rsidR="00F910F5" w:rsidRPr="000A6AA7">
              <w:t>19. Дата окончания срока действия договора доверительного управления фондом 14 июня 2024 года.</w:t>
            </w:r>
            <w:r w:rsidR="00F910F5">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467DD843" w14:textId="75F87203" w:rsidR="004336D1" w:rsidRPr="004336D1" w:rsidRDefault="00F910F5" w:rsidP="00F910F5">
            <w:pPr>
              <w:ind w:firstLine="567"/>
              <w:jc w:val="both"/>
            </w:pPr>
            <w:r w:rsidRPr="000A6A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tc>
        <w:tc>
          <w:tcPr>
            <w:tcW w:w="4959" w:type="dxa"/>
          </w:tcPr>
          <w:p w14:paraId="5A81CD23" w14:textId="55F574BF" w:rsidR="009E5CD8" w:rsidRPr="000A6AA7" w:rsidRDefault="009E5CD8" w:rsidP="009E5CD8">
            <w:pPr>
              <w:tabs>
                <w:tab w:val="left" w:pos="9072"/>
              </w:tabs>
              <w:spacing w:before="120" w:line="240" w:lineRule="atLeast"/>
              <w:ind w:firstLine="425"/>
              <w:jc w:val="both"/>
            </w:pPr>
            <w:r w:rsidRPr="000A6AA7">
              <w:t xml:space="preserve">19. Дата окончания срока действия договора доверительного управления фондом 14 июня </w:t>
            </w:r>
            <w:r w:rsidRPr="00F910F5">
              <w:rPr>
                <w:b/>
              </w:rPr>
              <w:t>2034</w:t>
            </w:r>
            <w:r w:rsidRPr="000A6AA7">
              <w:t xml:space="preserve"> года.</w:t>
            </w:r>
            <w: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4DE634C" w14:textId="40A7A5DC" w:rsidR="004336D1" w:rsidRPr="0039614A" w:rsidRDefault="009E5CD8" w:rsidP="009E5CD8">
            <w:pPr>
              <w:ind w:firstLine="567"/>
              <w:jc w:val="both"/>
            </w:pPr>
            <w:r w:rsidRPr="000A6A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tc>
      </w:tr>
      <w:tr w:rsidR="00153C66" w:rsidRPr="0039614A" w14:paraId="5C85DB73" w14:textId="77777777" w:rsidTr="00135182">
        <w:trPr>
          <w:trHeight w:val="1127"/>
        </w:trPr>
        <w:tc>
          <w:tcPr>
            <w:tcW w:w="4959" w:type="dxa"/>
          </w:tcPr>
          <w:p w14:paraId="1F3F159E" w14:textId="77777777" w:rsidR="00153C66" w:rsidRDefault="00F910F5" w:rsidP="00153C66">
            <w:pPr>
              <w:tabs>
                <w:tab w:val="left" w:pos="993"/>
              </w:tabs>
              <w:ind w:firstLine="567"/>
              <w:jc w:val="both"/>
            </w:pPr>
            <w:r>
              <w:t>Подпункт 4 пункта 22.1.1 Правил</w:t>
            </w:r>
          </w:p>
          <w:p w14:paraId="7C7C9DA1" w14:textId="276FFBDA" w:rsidR="00F910F5" w:rsidRPr="008F7EC5" w:rsidRDefault="00F910F5" w:rsidP="00153C66">
            <w:pPr>
              <w:tabs>
                <w:tab w:val="left" w:pos="993"/>
              </w:tabs>
              <w:ind w:firstLine="567"/>
              <w:jc w:val="both"/>
              <w:rPr>
                <w:sz w:val="22"/>
                <w:szCs w:val="22"/>
              </w:rPr>
            </w:pPr>
            <w:r w:rsidRPr="004A102B">
              <w:rPr>
                <w:bCs/>
              </w:rPr>
              <w:t xml:space="preserve">4) иные активы, включаемые в состав активов </w:t>
            </w:r>
            <w:r w:rsidRPr="00F910F5">
              <w:rPr>
                <w:b/>
                <w:bCs/>
              </w:rPr>
              <w:t>инвестиционного</w:t>
            </w:r>
            <w:r w:rsidRPr="004A102B">
              <w:rPr>
                <w:bCs/>
              </w:rPr>
              <w:t xml:space="preserve">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w:t>
            </w:r>
            <w:r w:rsidRPr="00F910F5">
              <w:rPr>
                <w:b/>
                <w:bCs/>
              </w:rPr>
              <w:t>инвестиционный</w:t>
            </w:r>
            <w:r w:rsidRPr="004A102B">
              <w:rPr>
                <w:bCs/>
              </w:rPr>
              <w:t xml:space="preserve"> фонд, ценными бумагами или предусмотренных составляющими </w:t>
            </w:r>
            <w:r w:rsidRPr="00F910F5">
              <w:rPr>
                <w:b/>
                <w:bCs/>
              </w:rPr>
              <w:t>инвестиционный</w:t>
            </w:r>
            <w:r w:rsidRPr="004A102B">
              <w:rPr>
                <w:bCs/>
              </w:rPr>
              <w:t xml:space="preserve"> фонд производными финансовыми инструментами (далее - инвестиционные права).</w:t>
            </w:r>
          </w:p>
        </w:tc>
        <w:tc>
          <w:tcPr>
            <w:tcW w:w="4959" w:type="dxa"/>
          </w:tcPr>
          <w:p w14:paraId="01DDD77E" w14:textId="77777777" w:rsidR="00153C66" w:rsidRDefault="009E5CD8" w:rsidP="00153C66">
            <w:pPr>
              <w:ind w:firstLine="567"/>
              <w:jc w:val="both"/>
            </w:pPr>
            <w:r>
              <w:t>Подпункт 4 пункта 22.1.1 Правил</w:t>
            </w:r>
          </w:p>
          <w:p w14:paraId="53B832E8" w14:textId="73AD47FC" w:rsidR="009E5CD8" w:rsidRPr="0039614A" w:rsidRDefault="009E5CD8" w:rsidP="00153C66">
            <w:pPr>
              <w:ind w:firstLine="567"/>
              <w:jc w:val="both"/>
            </w:pPr>
            <w:r w:rsidRPr="004A102B">
              <w:rPr>
                <w:bCs/>
              </w:rPr>
              <w:t>4)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tc>
      </w:tr>
      <w:tr w:rsidR="00153C66" w:rsidRPr="0039614A" w14:paraId="5BAA2E50" w14:textId="77777777" w:rsidTr="00135182">
        <w:trPr>
          <w:trHeight w:val="1127"/>
        </w:trPr>
        <w:tc>
          <w:tcPr>
            <w:tcW w:w="4959" w:type="dxa"/>
          </w:tcPr>
          <w:p w14:paraId="16573B24" w14:textId="77777777" w:rsidR="00F910F5" w:rsidRPr="004A102B" w:rsidRDefault="00F910F5" w:rsidP="00F910F5">
            <w:pPr>
              <w:widowControl w:val="0"/>
              <w:autoSpaceDE w:val="0"/>
              <w:autoSpaceDN w:val="0"/>
              <w:adjustRightInd w:val="0"/>
              <w:ind w:firstLine="567"/>
              <w:jc w:val="both"/>
              <w:rPr>
                <w:bCs/>
              </w:rPr>
            </w:pPr>
            <w:r w:rsidRPr="004A102B">
              <w:rPr>
                <w:bCs/>
              </w:rPr>
              <w:t>23. Структура активов фонда должна одновременно соответствовать следующим требованиям:</w:t>
            </w:r>
          </w:p>
          <w:p w14:paraId="2B84945E" w14:textId="77777777" w:rsidR="00F910F5" w:rsidRPr="004A102B" w:rsidRDefault="00F910F5" w:rsidP="00F910F5">
            <w:pPr>
              <w:ind w:firstLine="567"/>
              <w:contextualSpacing/>
              <w:jc w:val="both"/>
              <w:rPr>
                <w:bCs/>
              </w:rPr>
            </w:pPr>
            <w:r>
              <w:rPr>
                <w:bCs/>
              </w:rPr>
              <w:t>23.1.</w:t>
            </w:r>
            <w:r w:rsidRPr="004A102B">
              <w:rPr>
                <w:bCs/>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83CAE25" w14:textId="77777777" w:rsidR="00F910F5" w:rsidRPr="004A102B" w:rsidRDefault="00F910F5" w:rsidP="00F910F5">
            <w:pPr>
              <w:ind w:firstLine="567"/>
              <w:contextualSpacing/>
              <w:jc w:val="both"/>
              <w:rPr>
                <w:bCs/>
              </w:rPr>
            </w:pPr>
            <w:r w:rsidRPr="004A102B">
              <w:rPr>
                <w:bCs/>
              </w:rPr>
              <w:lastRenderedPageBreak/>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w:t>
            </w:r>
          </w:p>
          <w:p w14:paraId="6AF18CAB" w14:textId="77777777" w:rsidR="00F910F5" w:rsidRPr="004A102B" w:rsidRDefault="00F910F5" w:rsidP="00F910F5">
            <w:pPr>
              <w:ind w:firstLine="567"/>
              <w:contextualSpacing/>
              <w:jc w:val="both"/>
              <w:rPr>
                <w:bCs/>
              </w:rPr>
            </w:pPr>
            <w:r w:rsidRPr="004A102B">
              <w:rPr>
                <w:bCs/>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FAE640C" w14:textId="77777777" w:rsidR="00F910F5" w:rsidRPr="004A102B" w:rsidRDefault="00F910F5" w:rsidP="00F910F5">
            <w:pPr>
              <w:ind w:firstLine="567"/>
              <w:contextualSpacing/>
              <w:jc w:val="both"/>
              <w:rPr>
                <w:bCs/>
              </w:rPr>
            </w:pPr>
            <w:r w:rsidRPr="004A102B">
              <w:rPr>
                <w:bCs/>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абзаце седьмого настоящего подпункта,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w:t>
            </w:r>
            <w:r w:rsidRPr="004A102B">
              <w:rPr>
                <w:bCs/>
              </w:rPr>
              <w:lastRenderedPageBreak/>
              <w:t>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040F7CC" w14:textId="77777777" w:rsidR="00F910F5" w:rsidRPr="004A102B" w:rsidRDefault="00F910F5" w:rsidP="00F910F5">
            <w:pPr>
              <w:ind w:firstLine="567"/>
              <w:contextualSpacing/>
              <w:jc w:val="both"/>
              <w:rPr>
                <w:bCs/>
              </w:rPr>
            </w:pPr>
            <w:r w:rsidRPr="004A102B">
              <w:rPr>
                <w:bCs/>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может превышать общую сумму денежных средств, подлежащих выплате в связи с погашением и обменом инвестиционных паев </w:t>
            </w:r>
            <w:r w:rsidRPr="00F910F5">
              <w:rPr>
                <w:b/>
                <w:bCs/>
              </w:rPr>
              <w:t>фонда</w:t>
            </w:r>
            <w:r w:rsidRPr="004A102B">
              <w:rPr>
                <w:bCs/>
              </w:rPr>
              <w:t xml:space="preserve"> на момент расчета ограничения.</w:t>
            </w:r>
          </w:p>
          <w:p w14:paraId="076F4C57" w14:textId="77777777" w:rsidR="00F910F5" w:rsidRPr="004A102B" w:rsidRDefault="00F910F5" w:rsidP="00F910F5">
            <w:pPr>
              <w:ind w:firstLine="567"/>
              <w:contextualSpacing/>
              <w:jc w:val="both"/>
              <w:rPr>
                <w:bCs/>
              </w:rPr>
            </w:pPr>
            <w:r w:rsidRPr="004A102B">
              <w:rPr>
                <w:bCs/>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w:t>
            </w:r>
            <w:r w:rsidRPr="004A102B">
              <w:rPr>
                <w:bCs/>
              </w:rPr>
              <w:lastRenderedPageBreak/>
              <w:t>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3D06991" w14:textId="77777777" w:rsidR="00F910F5" w:rsidRPr="004A102B" w:rsidRDefault="00F910F5" w:rsidP="00F910F5">
            <w:pPr>
              <w:ind w:firstLine="567"/>
              <w:contextualSpacing/>
              <w:jc w:val="both"/>
              <w:rPr>
                <w:bCs/>
              </w:rPr>
            </w:pPr>
            <w:r w:rsidRPr="004A102B">
              <w:rPr>
                <w:bC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w:t>
            </w:r>
            <w:hyperlink r:id="rId10" w:history="1">
              <w:r w:rsidRPr="004A102B">
                <w:rPr>
                  <w:bCs/>
                </w:rPr>
                <w:t>подпунктом 5 пункта 1 статьи 40</w:t>
              </w:r>
            </w:hyperlink>
            <w:r w:rsidRPr="004A102B">
              <w:rPr>
                <w:bCs/>
              </w:rPr>
              <w:t xml:space="preserve"> Федерального закона от 29 ноября 2001 года N 156-ФЗ, в совокупности не должны превышать 40 процентов стоимости чистых активов фонда.</w:t>
            </w:r>
          </w:p>
          <w:p w14:paraId="7D6EAFD8" w14:textId="77777777" w:rsidR="00F910F5" w:rsidRPr="004A102B" w:rsidRDefault="00F910F5" w:rsidP="00F910F5">
            <w:pPr>
              <w:ind w:firstLine="567"/>
              <w:contextualSpacing/>
              <w:jc w:val="both"/>
              <w:rPr>
                <w:bCs/>
              </w:rPr>
            </w:pPr>
            <w:r w:rsidRPr="004A102B">
              <w:rPr>
                <w:bCs/>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1A5CFF50" w14:textId="77777777" w:rsidR="00F910F5" w:rsidRPr="004A102B" w:rsidRDefault="00F910F5" w:rsidP="00F910F5">
            <w:pPr>
              <w:ind w:firstLine="567"/>
              <w:contextualSpacing/>
              <w:jc w:val="both"/>
              <w:rPr>
                <w:bCs/>
              </w:rPr>
            </w:pPr>
            <w:r w:rsidRPr="004A102B">
              <w:rPr>
                <w:bCs/>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CBB4DB1" w14:textId="77777777" w:rsidR="00F910F5" w:rsidRPr="004A102B" w:rsidRDefault="00F910F5" w:rsidP="00F910F5">
            <w:pPr>
              <w:ind w:firstLine="567"/>
              <w:contextualSpacing/>
              <w:jc w:val="both"/>
              <w:rPr>
                <w:bCs/>
              </w:rPr>
            </w:pPr>
            <w:r w:rsidRPr="004A102B">
              <w:rPr>
                <w:bCs/>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w:t>
            </w:r>
            <w:r w:rsidRPr="004A102B">
              <w:rPr>
                <w:bCs/>
              </w:rPr>
              <w:lastRenderedPageBreak/>
              <w:t xml:space="preserve">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hyperlink r:id="rId11" w:history="1">
              <w:r w:rsidRPr="004A102B">
                <w:rPr>
                  <w:bCs/>
                </w:rPr>
                <w:t>пунктом 14 статьи 51.3</w:t>
              </w:r>
            </w:hyperlink>
            <w:r w:rsidRPr="004A102B">
              <w:rPr>
                <w:bCs/>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38A070E5" w14:textId="77777777" w:rsidR="00F910F5" w:rsidRPr="004A102B" w:rsidRDefault="00F910F5" w:rsidP="00F910F5">
            <w:pPr>
              <w:ind w:firstLine="567"/>
              <w:contextualSpacing/>
              <w:jc w:val="both"/>
              <w:rPr>
                <w:bCs/>
              </w:rPr>
            </w:pPr>
            <w:r w:rsidRPr="004A102B">
              <w:rPr>
                <w:bCs/>
              </w:rPr>
              <w:t xml:space="preserve">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w:t>
            </w:r>
            <w:r w:rsidRPr="00F910F5">
              <w:rPr>
                <w:b/>
                <w:bCs/>
              </w:rPr>
              <w:t>инвестиционного</w:t>
            </w:r>
            <w:r w:rsidRPr="004A102B">
              <w:rPr>
                <w:bCs/>
              </w:rPr>
              <w:t xml:space="preserve"> фонда предусмотрена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7E17C2C0" w14:textId="77777777" w:rsidR="00F910F5" w:rsidRPr="00F910F5" w:rsidRDefault="00F910F5" w:rsidP="00F910F5">
            <w:pPr>
              <w:ind w:firstLine="567"/>
              <w:contextualSpacing/>
              <w:jc w:val="both"/>
              <w:rPr>
                <w:b/>
                <w:bCs/>
              </w:rPr>
            </w:pPr>
            <w:r w:rsidRPr="00F910F5">
              <w:rPr>
                <w:b/>
                <w:bCs/>
              </w:rPr>
              <w:t>Управляющая компания не вправе распоряжаться приобретенными ценными бумагами по первой части договора репо за исключением их возврата по второй части такого договора репо.</w:t>
            </w:r>
          </w:p>
          <w:p w14:paraId="70973D7A" w14:textId="77777777" w:rsidR="00F910F5" w:rsidRPr="004A102B" w:rsidRDefault="00F910F5" w:rsidP="00F910F5">
            <w:pPr>
              <w:ind w:firstLine="567"/>
              <w:contextualSpacing/>
              <w:jc w:val="both"/>
              <w:rPr>
                <w:bCs/>
              </w:rPr>
            </w:pPr>
            <w:r w:rsidRPr="004A102B">
              <w:rPr>
                <w:bCs/>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751E69BA" w14:textId="77777777" w:rsidR="00F910F5" w:rsidRPr="00F910F5" w:rsidRDefault="00F910F5" w:rsidP="00F910F5">
            <w:pPr>
              <w:ind w:firstLine="567"/>
              <w:contextualSpacing/>
              <w:jc w:val="both"/>
              <w:rPr>
                <w:b/>
                <w:bCs/>
              </w:rPr>
            </w:pPr>
            <w:r w:rsidRPr="00F910F5">
              <w:rPr>
                <w:b/>
                <w:bCs/>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14:paraId="2ACB00E1" w14:textId="77777777" w:rsidR="00F910F5" w:rsidRPr="004A102B" w:rsidRDefault="00F910F5" w:rsidP="00F910F5">
            <w:pPr>
              <w:autoSpaceDE w:val="0"/>
              <w:autoSpaceDN w:val="0"/>
              <w:adjustRightInd w:val="0"/>
              <w:ind w:firstLine="567"/>
              <w:jc w:val="both"/>
              <w:rPr>
                <w:bCs/>
              </w:rPr>
            </w:pPr>
          </w:p>
          <w:p w14:paraId="48ED7867" w14:textId="77777777" w:rsidR="00F910F5" w:rsidRPr="004A102B" w:rsidRDefault="00F910F5" w:rsidP="00F910F5">
            <w:pPr>
              <w:autoSpaceDE w:val="0"/>
              <w:autoSpaceDN w:val="0"/>
              <w:adjustRightInd w:val="0"/>
              <w:ind w:firstLine="567"/>
              <w:jc w:val="both"/>
              <w:rPr>
                <w:bCs/>
              </w:rPr>
            </w:pPr>
            <w:r>
              <w:rPr>
                <w:bCs/>
              </w:rPr>
              <w:t>23.2.</w:t>
            </w:r>
            <w:r w:rsidRPr="004A102B">
              <w:rPr>
                <w:bCs/>
              </w:rPr>
              <w:t xml:space="preserve"> Доля стоимости инструментов денежного рынка со сроком до погашения (закрытия) менее трех месяцев, инвестиционных паев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 прав требований к юридическому лицу, возникших на основании договора о брокерском обслуживании с таким лицом </w:t>
            </w:r>
            <w:r w:rsidRPr="004A102B">
              <w:rPr>
                <w:bCs/>
              </w:rPr>
              <w:lastRenderedPageBreak/>
              <w:t>(при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14:paraId="5930D7E4" w14:textId="77777777" w:rsidR="00F910F5" w:rsidRPr="004A102B" w:rsidRDefault="00F910F5" w:rsidP="00F910F5">
            <w:pPr>
              <w:ind w:firstLine="567"/>
              <w:jc w:val="both"/>
              <w:rPr>
                <w:bCs/>
              </w:rPr>
            </w:pPr>
            <w:r w:rsidRPr="004A102B">
              <w:rPr>
                <w:bCs/>
              </w:rPr>
              <w:t>- три процента;</w:t>
            </w:r>
          </w:p>
          <w:p w14:paraId="41D722D0" w14:textId="77777777" w:rsidR="00F910F5" w:rsidRPr="004A102B" w:rsidRDefault="00F910F5" w:rsidP="00F910F5">
            <w:pPr>
              <w:ind w:firstLine="567"/>
              <w:jc w:val="both"/>
              <w:rPr>
                <w:bCs/>
              </w:rPr>
            </w:pPr>
            <w:r w:rsidRPr="004A102B">
              <w:rPr>
                <w:bCs/>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755F6F5C" w14:textId="77777777" w:rsidR="00F910F5" w:rsidRPr="004A102B" w:rsidRDefault="00F910F5" w:rsidP="00F910F5">
            <w:pPr>
              <w:ind w:firstLine="567"/>
              <w:jc w:val="both"/>
              <w:rPr>
                <w:bCs/>
              </w:rPr>
            </w:pPr>
            <w:r w:rsidRPr="004A102B">
              <w:rPr>
                <w:bCs/>
              </w:rPr>
              <w:t xml:space="preserve">Для целей настоящего подпункта </w:t>
            </w:r>
            <w:r>
              <w:rPr>
                <w:bCs/>
              </w:rPr>
              <w:t xml:space="preserve">не </w:t>
            </w:r>
            <w:r w:rsidRPr="004A102B">
              <w:rPr>
                <w:bCs/>
              </w:rPr>
              <w:lastRenderedPageBreak/>
              <w:t xml:space="preserve">учитываются </w:t>
            </w:r>
            <w:r w:rsidRPr="004677E6">
              <w:rPr>
                <w:bCs/>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A102B">
              <w:rPr>
                <w:bCs/>
              </w:rPr>
              <w:t>.</w:t>
            </w:r>
          </w:p>
          <w:p w14:paraId="6940088B" w14:textId="77777777" w:rsidR="00F910F5" w:rsidRPr="004A102B" w:rsidRDefault="00F910F5" w:rsidP="00F910F5">
            <w:pPr>
              <w:ind w:firstLine="567"/>
              <w:jc w:val="both"/>
              <w:rPr>
                <w:bCs/>
              </w:rPr>
            </w:pPr>
            <w:r w:rsidRPr="004A102B">
              <w:rPr>
                <w:bCs/>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8949A88" w14:textId="77777777" w:rsidR="00F910F5" w:rsidRPr="004A102B" w:rsidRDefault="00F910F5" w:rsidP="00F910F5">
            <w:pPr>
              <w:autoSpaceDE w:val="0"/>
              <w:autoSpaceDN w:val="0"/>
              <w:adjustRightInd w:val="0"/>
              <w:ind w:firstLine="567"/>
              <w:jc w:val="both"/>
              <w:rPr>
                <w:bCs/>
              </w:rPr>
            </w:pPr>
            <w:r w:rsidRPr="004A102B">
              <w:rPr>
                <w:bCs/>
              </w:rPr>
              <w:t>3) Не менее двух третей рабочих дней в течение каждого календарного квартала (за исключением периода до даты завершения (окончания) формирования фонда, одного месяца с даты завершения (окончания) формирования фонда) совокупная стоимость преимущественных активов должна быть не менее 80% стоимости активов фонда.</w:t>
            </w:r>
          </w:p>
          <w:p w14:paraId="57F92BAC" w14:textId="77777777" w:rsidR="00F910F5" w:rsidRPr="004A102B" w:rsidRDefault="00F910F5" w:rsidP="00F910F5">
            <w:pPr>
              <w:ind w:firstLine="567"/>
              <w:contextualSpacing/>
              <w:jc w:val="both"/>
              <w:rPr>
                <w:bCs/>
              </w:rPr>
            </w:pPr>
            <w:r w:rsidRPr="004A102B">
              <w:rPr>
                <w:bCs/>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D0D3E47" w14:textId="77777777" w:rsidR="00F910F5" w:rsidRPr="004A102B" w:rsidRDefault="00F910F5" w:rsidP="00F910F5">
            <w:pPr>
              <w:ind w:firstLine="567"/>
              <w:contextualSpacing/>
              <w:jc w:val="both"/>
              <w:rPr>
                <w:bCs/>
              </w:rPr>
            </w:pPr>
            <w:r>
              <w:rPr>
                <w:bCs/>
              </w:rPr>
              <w:t>3</w:t>
            </w:r>
            <w:r w:rsidRPr="004A102B">
              <w:rPr>
                <w:bCs/>
              </w:rPr>
              <w:t>) Предусмотренные подпунктом 4</w:t>
            </w:r>
            <w:r w:rsidRPr="00F910F5">
              <w:rPr>
                <w:b/>
                <w:bCs/>
              </w:rPr>
              <w:t>)</w:t>
            </w:r>
            <w:r w:rsidRPr="004A102B">
              <w:rPr>
                <w:bCs/>
              </w:rPr>
              <w:t xml:space="preserve"> пункта 22.1.1 настоящих Правил активы, включаемые в состав активов </w:t>
            </w:r>
            <w:r w:rsidRPr="00F910F5">
              <w:rPr>
                <w:b/>
                <w:bCs/>
              </w:rPr>
              <w:t>инвестиционного</w:t>
            </w:r>
            <w:r w:rsidRPr="004A102B">
              <w:rPr>
                <w:bCs/>
              </w:rPr>
              <w:t xml:space="preserve">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501AE6A2" w14:textId="77777777" w:rsidR="00F910F5" w:rsidRPr="004A102B" w:rsidRDefault="00F910F5" w:rsidP="00F910F5">
            <w:pPr>
              <w:ind w:firstLine="567"/>
              <w:contextualSpacing/>
              <w:jc w:val="both"/>
              <w:rPr>
                <w:bCs/>
              </w:rPr>
            </w:pPr>
            <w:r w:rsidRPr="004A102B">
              <w:rPr>
                <w:bCs/>
              </w:rPr>
              <w:t>Стоимость предусмотренных подпунктом 4</w:t>
            </w:r>
            <w:r w:rsidRPr="00F910F5">
              <w:rPr>
                <w:b/>
                <w:bCs/>
              </w:rPr>
              <w:t>)</w:t>
            </w:r>
            <w:r w:rsidRPr="004A102B">
              <w:rPr>
                <w:bCs/>
              </w:rPr>
              <w:t xml:space="preserve"> пункта 22.1.1 настоящих Правил активов, включаемых в состав активов </w:t>
            </w:r>
            <w:r w:rsidRPr="00F910F5">
              <w:rPr>
                <w:b/>
                <w:bCs/>
              </w:rPr>
              <w:t>инвестиционного</w:t>
            </w:r>
            <w:r w:rsidRPr="004A102B">
              <w:rPr>
                <w:bCs/>
              </w:rPr>
              <w:t xml:space="preserve"> фонда в связи с реализацией инвестиционных прав, в совокупности не должна превышать 5 (пять) % стоимости активов фонда.</w:t>
            </w:r>
          </w:p>
          <w:p w14:paraId="502B4576" w14:textId="330EC193" w:rsidR="00153C66" w:rsidRPr="008F7EC5" w:rsidRDefault="00F910F5" w:rsidP="00F910F5">
            <w:pPr>
              <w:autoSpaceDE w:val="0"/>
              <w:autoSpaceDN w:val="0"/>
              <w:adjustRightInd w:val="0"/>
              <w:ind w:firstLine="567"/>
              <w:jc w:val="both"/>
              <w:rPr>
                <w:sz w:val="22"/>
                <w:szCs w:val="22"/>
              </w:rPr>
            </w:pPr>
            <w:r w:rsidRPr="004A102B">
              <w:rPr>
                <w:bCs/>
              </w:rPr>
              <w:t>Требования настоящего пункта не применяются с даты возникновения основания прекращения фонда.</w:t>
            </w:r>
          </w:p>
        </w:tc>
        <w:tc>
          <w:tcPr>
            <w:tcW w:w="4959" w:type="dxa"/>
          </w:tcPr>
          <w:p w14:paraId="513AE5A4" w14:textId="77777777" w:rsidR="009E5CD8" w:rsidRPr="004A102B" w:rsidRDefault="009E5CD8" w:rsidP="009E5CD8">
            <w:pPr>
              <w:widowControl w:val="0"/>
              <w:autoSpaceDE w:val="0"/>
              <w:autoSpaceDN w:val="0"/>
              <w:adjustRightInd w:val="0"/>
              <w:ind w:firstLine="567"/>
              <w:jc w:val="both"/>
              <w:rPr>
                <w:bCs/>
              </w:rPr>
            </w:pPr>
            <w:r w:rsidRPr="004A102B">
              <w:rPr>
                <w:bCs/>
              </w:rPr>
              <w:lastRenderedPageBreak/>
              <w:t>23. Структура активов фонда должна одновременно соответствовать следующим требованиям:</w:t>
            </w:r>
          </w:p>
          <w:p w14:paraId="5B88AD67" w14:textId="162725DC" w:rsidR="009E5CD8" w:rsidRPr="004A102B" w:rsidRDefault="009E5CD8" w:rsidP="009E5CD8">
            <w:pPr>
              <w:ind w:firstLine="567"/>
              <w:contextualSpacing/>
              <w:jc w:val="both"/>
              <w:rPr>
                <w:bCs/>
              </w:rPr>
            </w:pPr>
            <w:r w:rsidRPr="009E5CD8">
              <w:rPr>
                <w:b/>
                <w:bCs/>
              </w:rPr>
              <w:t>1)</w:t>
            </w:r>
            <w:r w:rsidRPr="004A102B">
              <w:rPr>
                <w:bCs/>
              </w:rPr>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57126AE" w14:textId="77777777" w:rsidR="009E5CD8" w:rsidRPr="004A102B" w:rsidRDefault="009E5CD8" w:rsidP="009E5CD8">
            <w:pPr>
              <w:ind w:firstLine="567"/>
              <w:contextualSpacing/>
              <w:jc w:val="both"/>
              <w:rPr>
                <w:bCs/>
              </w:rPr>
            </w:pPr>
            <w:r w:rsidRPr="004A102B">
              <w:rPr>
                <w:bCs/>
              </w:rPr>
              <w:lastRenderedPageBreak/>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w:t>
            </w:r>
          </w:p>
          <w:p w14:paraId="00E5A806" w14:textId="77777777" w:rsidR="009E5CD8" w:rsidRPr="004A102B" w:rsidRDefault="009E5CD8" w:rsidP="009E5CD8">
            <w:pPr>
              <w:ind w:firstLine="567"/>
              <w:contextualSpacing/>
              <w:jc w:val="both"/>
              <w:rPr>
                <w:bCs/>
              </w:rPr>
            </w:pPr>
            <w:r w:rsidRPr="004A102B">
              <w:rPr>
                <w:bCs/>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56B943F" w14:textId="77777777" w:rsidR="009E5CD8" w:rsidRPr="004A102B" w:rsidRDefault="009E5CD8" w:rsidP="009E5CD8">
            <w:pPr>
              <w:ind w:firstLine="567"/>
              <w:contextualSpacing/>
              <w:jc w:val="both"/>
              <w:rPr>
                <w:bCs/>
              </w:rPr>
            </w:pPr>
            <w:r w:rsidRPr="004A102B">
              <w:rPr>
                <w:bCs/>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абзаце седьмого настоящего подпункта,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w:t>
            </w:r>
            <w:r w:rsidRPr="004A102B">
              <w:rPr>
                <w:bCs/>
              </w:rPr>
              <w:lastRenderedPageBreak/>
              <w:t>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0B22F2DB" w14:textId="7F9A2E8F" w:rsidR="009E5CD8" w:rsidRPr="004A102B" w:rsidRDefault="009E5CD8" w:rsidP="009E5CD8">
            <w:pPr>
              <w:ind w:firstLine="567"/>
              <w:contextualSpacing/>
              <w:jc w:val="both"/>
              <w:rPr>
                <w:bCs/>
              </w:rPr>
            </w:pPr>
            <w:r w:rsidRPr="004A102B">
              <w:rPr>
                <w:bCs/>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w:t>
            </w:r>
            <w:r w:rsidRPr="00F910F5">
              <w:rPr>
                <w:b/>
                <w:bCs/>
              </w:rPr>
              <w:t>в совокупности не должны</w:t>
            </w:r>
            <w:r w:rsidRPr="004A102B">
              <w:rPr>
                <w:bCs/>
              </w:rPr>
              <w:t xml:space="preserve"> превышать общую сумму денежных средств, подлежащих выплате в связи с погашением и обменом инвестиционных паев на момент расчета ограничения.</w:t>
            </w:r>
          </w:p>
          <w:p w14:paraId="56CB82D9" w14:textId="77777777" w:rsidR="009E5CD8" w:rsidRPr="004A102B" w:rsidRDefault="009E5CD8" w:rsidP="009E5CD8">
            <w:pPr>
              <w:ind w:firstLine="567"/>
              <w:contextualSpacing/>
              <w:jc w:val="both"/>
              <w:rPr>
                <w:bCs/>
              </w:rPr>
            </w:pPr>
            <w:r w:rsidRPr="004A102B">
              <w:rPr>
                <w:bCs/>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w:t>
            </w:r>
            <w:r w:rsidRPr="004A102B">
              <w:rPr>
                <w:bCs/>
              </w:rPr>
              <w:lastRenderedPageBreak/>
              <w:t>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8679DBF" w14:textId="77777777" w:rsidR="009E5CD8" w:rsidRPr="004A102B" w:rsidRDefault="009E5CD8" w:rsidP="009E5CD8">
            <w:pPr>
              <w:ind w:firstLine="567"/>
              <w:contextualSpacing/>
              <w:jc w:val="both"/>
              <w:rPr>
                <w:bCs/>
              </w:rPr>
            </w:pPr>
            <w:r w:rsidRPr="004A102B">
              <w:rPr>
                <w:bC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w:t>
            </w:r>
            <w:hyperlink r:id="rId12" w:history="1">
              <w:r w:rsidRPr="004A102B">
                <w:rPr>
                  <w:bCs/>
                </w:rPr>
                <w:t>подпунктом 5 пункта 1 статьи 40</w:t>
              </w:r>
            </w:hyperlink>
            <w:r w:rsidRPr="004A102B">
              <w:rPr>
                <w:bCs/>
              </w:rPr>
              <w:t xml:space="preserve"> Федерального закона от 29 ноября 2001 года N 156-ФЗ, в совокупности не должны превышать 40 процентов стоимости чистых активов фонда.</w:t>
            </w:r>
          </w:p>
          <w:p w14:paraId="1A1B8F6A" w14:textId="5FD07482" w:rsidR="009E5CD8" w:rsidRPr="004A102B" w:rsidRDefault="009E5CD8" w:rsidP="009E5CD8">
            <w:pPr>
              <w:ind w:firstLine="567"/>
              <w:contextualSpacing/>
              <w:jc w:val="both"/>
              <w:rPr>
                <w:bCs/>
              </w:rPr>
            </w:pPr>
            <w:r w:rsidRPr="004A102B">
              <w:rPr>
                <w:bCs/>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Pr="00F910F5">
              <w:rPr>
                <w:b/>
                <w:bCs/>
              </w:rPr>
              <w:t>седьмом</w:t>
            </w:r>
            <w:r w:rsidRPr="004A102B">
              <w:rPr>
                <w:bCs/>
              </w:rPr>
              <w:t xml:space="preserve">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2E59A5FB" w14:textId="77777777" w:rsidR="009E5CD8" w:rsidRPr="004A102B" w:rsidRDefault="009E5CD8" w:rsidP="009E5CD8">
            <w:pPr>
              <w:ind w:firstLine="567"/>
              <w:contextualSpacing/>
              <w:jc w:val="both"/>
              <w:rPr>
                <w:bCs/>
              </w:rPr>
            </w:pPr>
            <w:r w:rsidRPr="004A102B">
              <w:rPr>
                <w:bCs/>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40416B2B" w14:textId="77777777" w:rsidR="009E5CD8" w:rsidRPr="004A102B" w:rsidRDefault="009E5CD8" w:rsidP="009E5CD8">
            <w:pPr>
              <w:ind w:firstLine="567"/>
              <w:contextualSpacing/>
              <w:jc w:val="both"/>
              <w:rPr>
                <w:bCs/>
              </w:rPr>
            </w:pPr>
            <w:r w:rsidRPr="004A102B">
              <w:rPr>
                <w:bCs/>
              </w:rPr>
              <w:t xml:space="preserve">Договоры репо заключаются, если они соответствуют одному из следующих условий: контрагентом по договору репо </w:t>
            </w:r>
            <w:r w:rsidRPr="004A102B">
              <w:rPr>
                <w:bCs/>
              </w:rPr>
              <w:lastRenderedPageBreak/>
              <w:t xml:space="preserve">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hyperlink r:id="rId13" w:history="1">
              <w:r w:rsidRPr="004A102B">
                <w:rPr>
                  <w:bCs/>
                </w:rPr>
                <w:t>пунктом 14 статьи 51.3</w:t>
              </w:r>
            </w:hyperlink>
            <w:r w:rsidRPr="004A102B">
              <w:rPr>
                <w:bCs/>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28B93A6C" w14:textId="62E6948E" w:rsidR="009E5CD8" w:rsidRPr="004A102B" w:rsidRDefault="009E5CD8" w:rsidP="009E5CD8">
            <w:pPr>
              <w:ind w:firstLine="567"/>
              <w:contextualSpacing/>
              <w:jc w:val="both"/>
              <w:rPr>
                <w:bCs/>
              </w:rPr>
            </w:pPr>
            <w:r w:rsidRPr="004A102B">
              <w:rPr>
                <w:bCs/>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40301C3C" w14:textId="77777777" w:rsidR="009E5CD8" w:rsidRPr="004A102B" w:rsidRDefault="009E5CD8" w:rsidP="009E5CD8">
            <w:pPr>
              <w:ind w:firstLine="567"/>
              <w:contextualSpacing/>
              <w:jc w:val="both"/>
              <w:rPr>
                <w:bCs/>
              </w:rPr>
            </w:pPr>
            <w:r w:rsidRPr="00226388">
              <w:rPr>
                <w:bCs/>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7D28A4A0" w14:textId="77777777" w:rsidR="009E5CD8" w:rsidRPr="004A102B" w:rsidRDefault="009E5CD8" w:rsidP="009E5CD8">
            <w:pPr>
              <w:autoSpaceDE w:val="0"/>
              <w:autoSpaceDN w:val="0"/>
              <w:adjustRightInd w:val="0"/>
              <w:ind w:firstLine="567"/>
              <w:jc w:val="both"/>
              <w:rPr>
                <w:bCs/>
              </w:rPr>
            </w:pPr>
          </w:p>
          <w:p w14:paraId="1B409752" w14:textId="1EA0CA40" w:rsidR="009E5CD8" w:rsidRPr="004A102B" w:rsidRDefault="006E1321" w:rsidP="009E5CD8">
            <w:pPr>
              <w:autoSpaceDE w:val="0"/>
              <w:autoSpaceDN w:val="0"/>
              <w:adjustRightInd w:val="0"/>
              <w:ind w:firstLine="567"/>
              <w:jc w:val="both"/>
              <w:rPr>
                <w:bCs/>
              </w:rPr>
            </w:pPr>
            <w:r w:rsidRPr="006E1321">
              <w:rPr>
                <w:b/>
                <w:bCs/>
              </w:rPr>
              <w:t>2)</w:t>
            </w:r>
            <w:r w:rsidR="009E5CD8" w:rsidRPr="004A102B">
              <w:rPr>
                <w:bCs/>
              </w:rPr>
              <w:t xml:space="preserve"> Доля стоимости инструментов денежного рынка со сроком до погашения (закрытия) менее трех месяцев, инвестиционных паев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w:t>
            </w:r>
            <w:r w:rsidR="009E5CD8" w:rsidRPr="004A102B">
              <w:rPr>
                <w:bCs/>
              </w:rPr>
              <w:lastRenderedPageBreak/>
              <w:t>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14:paraId="17F9EEBF" w14:textId="77777777" w:rsidR="009E5CD8" w:rsidRPr="004A102B" w:rsidRDefault="009E5CD8" w:rsidP="009E5CD8">
            <w:pPr>
              <w:ind w:firstLine="567"/>
              <w:jc w:val="both"/>
              <w:rPr>
                <w:bCs/>
              </w:rPr>
            </w:pPr>
            <w:r w:rsidRPr="004A102B">
              <w:rPr>
                <w:bCs/>
              </w:rPr>
              <w:t>- три процента;</w:t>
            </w:r>
          </w:p>
          <w:p w14:paraId="6A48D393" w14:textId="77777777" w:rsidR="009E5CD8" w:rsidRPr="004A102B" w:rsidRDefault="009E5CD8" w:rsidP="009E5CD8">
            <w:pPr>
              <w:ind w:firstLine="567"/>
              <w:jc w:val="both"/>
              <w:rPr>
                <w:bCs/>
              </w:rPr>
            </w:pPr>
            <w:r w:rsidRPr="004A102B">
              <w:rPr>
                <w:bCs/>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06E9A578" w14:textId="77777777" w:rsidR="009E5CD8" w:rsidRPr="004A102B" w:rsidRDefault="009E5CD8" w:rsidP="009E5CD8">
            <w:pPr>
              <w:ind w:firstLine="567"/>
              <w:jc w:val="both"/>
              <w:rPr>
                <w:bCs/>
              </w:rPr>
            </w:pPr>
            <w:r w:rsidRPr="004A102B">
              <w:rPr>
                <w:bCs/>
              </w:rPr>
              <w:t xml:space="preserve">Для целей настоящего подпункта </w:t>
            </w:r>
            <w:r>
              <w:rPr>
                <w:bCs/>
              </w:rPr>
              <w:t xml:space="preserve">не </w:t>
            </w:r>
            <w:r w:rsidRPr="004A102B">
              <w:rPr>
                <w:bCs/>
              </w:rPr>
              <w:t xml:space="preserve">учитываются </w:t>
            </w:r>
            <w:r w:rsidRPr="004677E6">
              <w:rPr>
                <w:bCs/>
              </w:rPr>
              <w:t xml:space="preserve">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w:t>
            </w:r>
            <w:r w:rsidRPr="004677E6">
              <w:rPr>
                <w:bCs/>
              </w:rPr>
              <w:lastRenderedPageBreak/>
              <w:t>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A102B">
              <w:rPr>
                <w:bCs/>
              </w:rPr>
              <w:t>.</w:t>
            </w:r>
          </w:p>
          <w:p w14:paraId="4C7D91C2" w14:textId="77777777" w:rsidR="009E5CD8" w:rsidRPr="004A102B" w:rsidRDefault="009E5CD8" w:rsidP="009E5CD8">
            <w:pPr>
              <w:ind w:firstLine="567"/>
              <w:jc w:val="both"/>
              <w:rPr>
                <w:bCs/>
              </w:rPr>
            </w:pPr>
            <w:r w:rsidRPr="004A102B">
              <w:rPr>
                <w:bCs/>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084D9CEA" w14:textId="72DF0F6A" w:rsidR="009E5CD8" w:rsidRPr="004A102B" w:rsidRDefault="009E5CD8" w:rsidP="009E5CD8">
            <w:pPr>
              <w:autoSpaceDE w:val="0"/>
              <w:autoSpaceDN w:val="0"/>
              <w:adjustRightInd w:val="0"/>
              <w:ind w:firstLine="567"/>
              <w:jc w:val="both"/>
              <w:rPr>
                <w:bCs/>
              </w:rPr>
            </w:pPr>
            <w:r w:rsidRPr="00F910F5">
              <w:rPr>
                <w:bCs/>
              </w:rPr>
              <w:t>3)</w:t>
            </w:r>
            <w:r w:rsidRPr="004A102B">
              <w:rPr>
                <w:bCs/>
              </w:rPr>
              <w:t xml:space="preserve"> Не менее двух третей рабочих дней в течение каждого календарного квартала </w:t>
            </w:r>
            <w:r w:rsidRPr="001170B7">
              <w:rPr>
                <w:bCs/>
              </w:rPr>
              <w:t>(за исключением периода до даты завершения (окончания) формирования фонда, одного месяца с даты завершения (окончания) формирования фонда)</w:t>
            </w:r>
            <w:r w:rsidRPr="004A102B">
              <w:rPr>
                <w:bCs/>
              </w:rPr>
              <w:t xml:space="preserve"> совокупная стоимость преимущественных активов должна быть не менее </w:t>
            </w:r>
            <w:r w:rsidRPr="00F910F5">
              <w:rPr>
                <w:b/>
                <w:bCs/>
              </w:rPr>
              <w:t>80 (восьмидесяти) процентов</w:t>
            </w:r>
            <w:r w:rsidRPr="004A102B">
              <w:rPr>
                <w:bCs/>
              </w:rPr>
              <w:t xml:space="preserve"> стоимости активов фонда.</w:t>
            </w:r>
          </w:p>
          <w:p w14:paraId="248983E4" w14:textId="77777777" w:rsidR="009E5CD8" w:rsidRPr="004A102B" w:rsidRDefault="009E5CD8" w:rsidP="009E5CD8">
            <w:pPr>
              <w:ind w:firstLine="567"/>
              <w:contextualSpacing/>
              <w:jc w:val="both"/>
              <w:rPr>
                <w:bCs/>
              </w:rPr>
            </w:pPr>
            <w:r w:rsidRPr="004A102B">
              <w:rPr>
                <w:bCs/>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4A959539" w14:textId="76F480D3" w:rsidR="009E5CD8" w:rsidRPr="004A102B" w:rsidRDefault="006E1321" w:rsidP="009E5CD8">
            <w:pPr>
              <w:ind w:firstLine="567"/>
              <w:contextualSpacing/>
              <w:jc w:val="both"/>
              <w:rPr>
                <w:bCs/>
              </w:rPr>
            </w:pPr>
            <w:r w:rsidRPr="00F910F5">
              <w:rPr>
                <w:b/>
                <w:bCs/>
              </w:rPr>
              <w:t>4</w:t>
            </w:r>
            <w:r w:rsidR="009E5CD8" w:rsidRPr="00F910F5">
              <w:rPr>
                <w:b/>
                <w:bCs/>
              </w:rPr>
              <w:t>)</w:t>
            </w:r>
            <w:r w:rsidR="009E5CD8" w:rsidRPr="004A102B">
              <w:rPr>
                <w:bCs/>
              </w:rPr>
              <w:t xml:space="preserve"> Предусмотренные подпунктом 4 пункта 22.1.1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678A8BEA" w14:textId="69D9BCC0" w:rsidR="009E5CD8" w:rsidRPr="004A102B" w:rsidRDefault="009E5CD8" w:rsidP="009E5CD8">
            <w:pPr>
              <w:ind w:firstLine="567"/>
              <w:contextualSpacing/>
              <w:jc w:val="both"/>
              <w:rPr>
                <w:bCs/>
              </w:rPr>
            </w:pPr>
            <w:r w:rsidRPr="004A102B">
              <w:rPr>
                <w:bCs/>
              </w:rPr>
              <w:t xml:space="preserve">Стоимость предусмотренных подпунктом 4 пункта 22.1.1 настоящих Правил активов, включаемых в состав активов фонда в связи с реализацией инвестиционных прав, в совокупности не должна превышать 5 (пять) </w:t>
            </w:r>
            <w:r w:rsidRPr="00AB4A9F">
              <w:rPr>
                <w:b/>
                <w:bCs/>
              </w:rPr>
              <w:t>процентов</w:t>
            </w:r>
            <w:r w:rsidRPr="004A102B">
              <w:rPr>
                <w:bCs/>
              </w:rPr>
              <w:t xml:space="preserve"> стоимости активов фонда.</w:t>
            </w:r>
          </w:p>
          <w:p w14:paraId="27149523" w14:textId="4926728A" w:rsidR="00153C66" w:rsidRPr="008F7EC5" w:rsidRDefault="009E5CD8" w:rsidP="009E5CD8">
            <w:pPr>
              <w:autoSpaceDE w:val="0"/>
              <w:autoSpaceDN w:val="0"/>
              <w:adjustRightInd w:val="0"/>
              <w:ind w:firstLine="567"/>
              <w:jc w:val="both"/>
              <w:rPr>
                <w:sz w:val="22"/>
                <w:szCs w:val="22"/>
              </w:rPr>
            </w:pPr>
            <w:r w:rsidRPr="004A102B">
              <w:rPr>
                <w:bCs/>
              </w:rPr>
              <w:t xml:space="preserve">Требования настоящего пункта не применяются </w:t>
            </w:r>
            <w:r w:rsidRPr="001170B7">
              <w:rPr>
                <w:bCs/>
              </w:rPr>
              <w:t>с даты возникновения основания прекращения фонда.</w:t>
            </w:r>
          </w:p>
        </w:tc>
      </w:tr>
      <w:tr w:rsidR="00402742" w:rsidRPr="0039614A" w14:paraId="426ADC81" w14:textId="77777777" w:rsidTr="00135182">
        <w:trPr>
          <w:trHeight w:val="1127"/>
        </w:trPr>
        <w:tc>
          <w:tcPr>
            <w:tcW w:w="4959" w:type="dxa"/>
          </w:tcPr>
          <w:p w14:paraId="1E065F1B" w14:textId="77777777" w:rsidR="00402742" w:rsidRDefault="00F910F5" w:rsidP="00412EC0">
            <w:pPr>
              <w:pStyle w:val="ConsPlusNormal"/>
              <w:ind w:firstLine="567"/>
              <w:jc w:val="both"/>
              <w:rPr>
                <w:rFonts w:ascii="Times New Roman" w:hAnsi="Times New Roman" w:cs="Times New Roman"/>
                <w:bCs/>
                <w:sz w:val="24"/>
                <w:szCs w:val="24"/>
              </w:rPr>
            </w:pPr>
            <w:r w:rsidRPr="009E5CD8">
              <w:rPr>
                <w:rFonts w:ascii="Times New Roman" w:hAnsi="Times New Roman" w:cs="Times New Roman"/>
                <w:bCs/>
                <w:sz w:val="24"/>
                <w:szCs w:val="24"/>
              </w:rPr>
              <w:lastRenderedPageBreak/>
              <w:t>Абзац 10 пункта 68</w:t>
            </w:r>
            <w:r>
              <w:rPr>
                <w:rFonts w:ascii="Times New Roman" w:hAnsi="Times New Roman" w:cs="Times New Roman"/>
                <w:bCs/>
                <w:sz w:val="24"/>
                <w:szCs w:val="24"/>
              </w:rPr>
              <w:t xml:space="preserve"> Правил</w:t>
            </w:r>
          </w:p>
          <w:p w14:paraId="4E30F852" w14:textId="7EE4E7D9" w:rsidR="00F910F5" w:rsidRPr="00AB4A9F" w:rsidRDefault="00F910F5" w:rsidP="00412EC0">
            <w:pPr>
              <w:pStyle w:val="ConsPlusNormal"/>
              <w:ind w:firstLine="567"/>
              <w:jc w:val="both"/>
              <w:rPr>
                <w:rFonts w:ascii="Times New Roman" w:hAnsi="Times New Roman" w:cs="Times New Roman"/>
                <w:bCs/>
                <w:sz w:val="24"/>
                <w:szCs w:val="24"/>
              </w:rPr>
            </w:pPr>
            <w:r w:rsidRPr="00AB4A9F">
              <w:rPr>
                <w:rFonts w:ascii="Times New Roman" w:hAnsi="Times New Roman" w:cs="Times New Roman"/>
                <w:bCs/>
                <w:sz w:val="24"/>
                <w:szCs w:val="24"/>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w:t>
            </w:r>
            <w:r w:rsidRPr="00AB4A9F" w:rsidDel="001C1E38">
              <w:rPr>
                <w:rFonts w:ascii="Times New Roman" w:hAnsi="Times New Roman" w:cs="Times New Roman"/>
                <w:bCs/>
                <w:sz w:val="24"/>
                <w:szCs w:val="24"/>
              </w:rPr>
              <w:t xml:space="preserve"> </w:t>
            </w:r>
            <w:r w:rsidRPr="00AB4A9F">
              <w:rPr>
                <w:rFonts w:ascii="Times New Roman" w:hAnsi="Times New Roman" w:cs="Times New Roman"/>
                <w:bCs/>
                <w:sz w:val="24"/>
                <w:szCs w:val="24"/>
              </w:rPr>
              <w:t>управляющей компании:191119, г. Санкт-Петербург, вн.тер.г. Муниципальный округ Семеновский, пр-кт Загородный, д. 46, к. 2, литера Б, кабинет № 125, Общество с ограниченной ответственностью «УК «А-Капитал».</w:t>
            </w:r>
          </w:p>
        </w:tc>
        <w:tc>
          <w:tcPr>
            <w:tcW w:w="4959" w:type="dxa"/>
          </w:tcPr>
          <w:p w14:paraId="68CD367D" w14:textId="1F433814" w:rsidR="00402742" w:rsidRPr="009E5CD8" w:rsidRDefault="009E5CD8" w:rsidP="00412EC0">
            <w:pPr>
              <w:pStyle w:val="ConsPlusNormal"/>
              <w:ind w:firstLine="567"/>
              <w:jc w:val="both"/>
              <w:rPr>
                <w:rFonts w:ascii="Times New Roman" w:hAnsi="Times New Roman" w:cs="Times New Roman"/>
                <w:bCs/>
                <w:sz w:val="24"/>
                <w:szCs w:val="24"/>
              </w:rPr>
            </w:pPr>
            <w:r w:rsidRPr="009E5CD8">
              <w:rPr>
                <w:rFonts w:ascii="Times New Roman" w:hAnsi="Times New Roman" w:cs="Times New Roman"/>
                <w:bCs/>
                <w:sz w:val="24"/>
                <w:szCs w:val="24"/>
              </w:rPr>
              <w:t>Абзац 10 пункта 68</w:t>
            </w:r>
            <w:r>
              <w:rPr>
                <w:rFonts w:ascii="Times New Roman" w:hAnsi="Times New Roman" w:cs="Times New Roman"/>
                <w:bCs/>
                <w:sz w:val="24"/>
                <w:szCs w:val="24"/>
              </w:rPr>
              <w:t xml:space="preserve"> Правил</w:t>
            </w:r>
          </w:p>
          <w:p w14:paraId="47B33E53" w14:textId="63206E15" w:rsidR="009E5CD8" w:rsidRPr="00AB4A9F" w:rsidRDefault="009E5CD8" w:rsidP="00412EC0">
            <w:pPr>
              <w:pStyle w:val="ConsPlusNormal"/>
              <w:ind w:firstLine="567"/>
              <w:jc w:val="both"/>
              <w:rPr>
                <w:rFonts w:ascii="Times New Roman" w:hAnsi="Times New Roman" w:cs="Times New Roman"/>
                <w:bCs/>
                <w:sz w:val="24"/>
                <w:szCs w:val="24"/>
              </w:rPr>
            </w:pPr>
            <w:r w:rsidRPr="00AB4A9F">
              <w:rPr>
                <w:rFonts w:ascii="Times New Roman" w:hAnsi="Times New Roman" w:cs="Times New Roman"/>
                <w:bCs/>
                <w:sz w:val="24"/>
                <w:szCs w:val="24"/>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w:t>
            </w:r>
            <w:r w:rsidRPr="00AB4A9F" w:rsidDel="001C1E38">
              <w:rPr>
                <w:rFonts w:ascii="Times New Roman" w:hAnsi="Times New Roman" w:cs="Times New Roman"/>
                <w:bCs/>
                <w:sz w:val="24"/>
                <w:szCs w:val="24"/>
              </w:rPr>
              <w:t xml:space="preserve"> </w:t>
            </w:r>
            <w:r w:rsidRPr="00AB4A9F">
              <w:rPr>
                <w:rFonts w:ascii="Times New Roman" w:hAnsi="Times New Roman" w:cs="Times New Roman"/>
                <w:bCs/>
                <w:sz w:val="24"/>
                <w:szCs w:val="24"/>
              </w:rPr>
              <w:t xml:space="preserve">управляющей компании: </w:t>
            </w:r>
            <w:r w:rsidRPr="00AB4A9F">
              <w:rPr>
                <w:rFonts w:ascii="Times New Roman" w:hAnsi="Times New Roman" w:cs="Times New Roman"/>
                <w:b/>
                <w:bCs/>
                <w:sz w:val="24"/>
                <w:szCs w:val="24"/>
              </w:rPr>
              <w:t>195112, г. Санкт-Петербург, вн.тер.г. Муниципальный округ Малая Охта, пр-кт Малоохтинский, д. 64, литера В, часть пом. 24Н (комн. 1,3,5)</w:t>
            </w:r>
            <w:r w:rsidRPr="00AB4A9F">
              <w:rPr>
                <w:rFonts w:ascii="Times New Roman" w:hAnsi="Times New Roman" w:cs="Times New Roman"/>
                <w:bCs/>
                <w:sz w:val="24"/>
                <w:szCs w:val="24"/>
              </w:rPr>
              <w:t>, Общество с ограниченной ответственностью «УК «А-Капитал».</w:t>
            </w:r>
          </w:p>
        </w:tc>
      </w:tr>
      <w:tr w:rsidR="00153C66" w:rsidRPr="0039614A" w14:paraId="4F8299AD" w14:textId="77777777" w:rsidTr="00135182">
        <w:trPr>
          <w:trHeight w:val="1127"/>
        </w:trPr>
        <w:tc>
          <w:tcPr>
            <w:tcW w:w="4959" w:type="dxa"/>
          </w:tcPr>
          <w:p w14:paraId="04E2B57F" w14:textId="77777777" w:rsidR="00153C66" w:rsidRDefault="00F910F5" w:rsidP="00153C66">
            <w:pPr>
              <w:autoSpaceDE w:val="0"/>
              <w:autoSpaceDN w:val="0"/>
              <w:adjustRightInd w:val="0"/>
              <w:ind w:firstLine="567"/>
              <w:jc w:val="both"/>
              <w:rPr>
                <w:sz w:val="22"/>
                <w:szCs w:val="22"/>
              </w:rPr>
            </w:pPr>
            <w:r>
              <w:rPr>
                <w:sz w:val="22"/>
                <w:szCs w:val="22"/>
              </w:rPr>
              <w:t>Абзац 2 пункта 68(1) Правил</w:t>
            </w:r>
          </w:p>
          <w:p w14:paraId="2ED3685B" w14:textId="2F555BD4" w:rsidR="00F910F5" w:rsidRDefault="00F910F5" w:rsidP="00153C66">
            <w:pPr>
              <w:autoSpaceDE w:val="0"/>
              <w:autoSpaceDN w:val="0"/>
              <w:adjustRightInd w:val="0"/>
              <w:ind w:firstLine="567"/>
              <w:jc w:val="both"/>
              <w:rPr>
                <w:sz w:val="22"/>
                <w:szCs w:val="22"/>
              </w:rPr>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AB4A9F">
              <w:rPr>
                <w:b/>
              </w:rPr>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tc>
        <w:tc>
          <w:tcPr>
            <w:tcW w:w="4959" w:type="dxa"/>
          </w:tcPr>
          <w:p w14:paraId="67E80D8E" w14:textId="77777777" w:rsidR="00153C66" w:rsidRDefault="009E5CD8" w:rsidP="00153C66">
            <w:pPr>
              <w:autoSpaceDE w:val="0"/>
              <w:autoSpaceDN w:val="0"/>
              <w:adjustRightInd w:val="0"/>
              <w:ind w:firstLine="567"/>
              <w:jc w:val="both"/>
              <w:rPr>
                <w:sz w:val="22"/>
                <w:szCs w:val="22"/>
              </w:rPr>
            </w:pPr>
            <w:r>
              <w:rPr>
                <w:sz w:val="22"/>
                <w:szCs w:val="22"/>
              </w:rPr>
              <w:t>Абзац 2 пункта 68(1) Правил</w:t>
            </w:r>
          </w:p>
          <w:p w14:paraId="7F573469" w14:textId="1DA7CD71" w:rsidR="009E5CD8" w:rsidRDefault="009E5CD8" w:rsidP="00153C66">
            <w:pPr>
              <w:autoSpaceDE w:val="0"/>
              <w:autoSpaceDN w:val="0"/>
              <w:adjustRightInd w:val="0"/>
              <w:ind w:firstLine="567"/>
              <w:jc w:val="both"/>
              <w:rPr>
                <w:sz w:val="22"/>
                <w:szCs w:val="22"/>
              </w:rPr>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t>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tc>
      </w:tr>
      <w:tr w:rsidR="00153C66" w:rsidRPr="0039614A" w14:paraId="21AA3A05" w14:textId="77777777" w:rsidTr="00135182">
        <w:trPr>
          <w:trHeight w:val="1127"/>
        </w:trPr>
        <w:tc>
          <w:tcPr>
            <w:tcW w:w="4959" w:type="dxa"/>
          </w:tcPr>
          <w:p w14:paraId="1834EC89" w14:textId="77777777" w:rsidR="00153C66" w:rsidRDefault="00F910F5" w:rsidP="00153C66">
            <w:pPr>
              <w:autoSpaceDE w:val="0"/>
              <w:autoSpaceDN w:val="0"/>
              <w:adjustRightInd w:val="0"/>
              <w:ind w:firstLine="567"/>
              <w:jc w:val="both"/>
              <w:rPr>
                <w:sz w:val="22"/>
                <w:szCs w:val="22"/>
              </w:rPr>
            </w:pPr>
            <w:r>
              <w:rPr>
                <w:sz w:val="22"/>
                <w:szCs w:val="22"/>
              </w:rPr>
              <w:t>Абзац 2 пункта 68(2) Правил</w:t>
            </w:r>
          </w:p>
          <w:p w14:paraId="3F5EAE0E" w14:textId="70C05CA6" w:rsidR="00F910F5" w:rsidRDefault="00F910F5" w:rsidP="00153C66">
            <w:pPr>
              <w:autoSpaceDE w:val="0"/>
              <w:autoSpaceDN w:val="0"/>
              <w:adjustRightInd w:val="0"/>
              <w:ind w:firstLine="567"/>
              <w:jc w:val="both"/>
              <w:rPr>
                <w:sz w:val="22"/>
                <w:szCs w:val="22"/>
              </w:rPr>
            </w:pPr>
            <w:r w:rsidRPr="00EA6D35">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Pr="00F53F73">
              <w:rPr>
                <w:b/>
              </w:rPr>
              <w:t>информационного сервиса управляющей компании «Личный кабинет агента»</w:t>
            </w:r>
            <w:r w:rsidRPr="00EA6D35">
              <w:t xml:space="preserve"> </w:t>
            </w:r>
            <w:r w:rsidRPr="00B3604F">
              <w:t xml:space="preserve">и/или </w:t>
            </w:r>
            <w:r w:rsidRPr="00F53F73">
              <w:rPr>
                <w:b/>
              </w:rPr>
              <w:t>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Pr="000A6AA7">
              <w:t>.</w:t>
            </w:r>
          </w:p>
        </w:tc>
        <w:tc>
          <w:tcPr>
            <w:tcW w:w="4959" w:type="dxa"/>
          </w:tcPr>
          <w:p w14:paraId="66E9817D" w14:textId="77777777" w:rsidR="00153C66" w:rsidRDefault="009E5CD8" w:rsidP="00402742">
            <w:pPr>
              <w:autoSpaceDE w:val="0"/>
              <w:autoSpaceDN w:val="0"/>
              <w:adjustRightInd w:val="0"/>
              <w:ind w:firstLine="567"/>
              <w:jc w:val="both"/>
              <w:rPr>
                <w:sz w:val="22"/>
                <w:szCs w:val="22"/>
              </w:rPr>
            </w:pPr>
            <w:r>
              <w:rPr>
                <w:sz w:val="22"/>
                <w:szCs w:val="22"/>
              </w:rPr>
              <w:t>Абзац 2 пункта 68(2) Правил</w:t>
            </w:r>
          </w:p>
          <w:p w14:paraId="2E482B19" w14:textId="6FAC26E5" w:rsidR="009E5CD8" w:rsidRDefault="009E5CD8" w:rsidP="00402742">
            <w:pPr>
              <w:autoSpaceDE w:val="0"/>
              <w:autoSpaceDN w:val="0"/>
              <w:adjustRightInd w:val="0"/>
              <w:ind w:firstLine="567"/>
              <w:jc w:val="both"/>
              <w:rPr>
                <w:sz w:val="22"/>
                <w:szCs w:val="22"/>
              </w:rPr>
            </w:pPr>
            <w:r w:rsidRPr="00EA6D35">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Pr="00F53F73">
              <w:rPr>
                <w:b/>
              </w:rPr>
              <w:t>ЛКА</w:t>
            </w:r>
            <w:r w:rsidRPr="00EA6D35">
              <w:t xml:space="preserve"> </w:t>
            </w:r>
            <w:r w:rsidRPr="00B3604F">
              <w:t xml:space="preserve">и/или </w:t>
            </w:r>
            <w:r w:rsidRPr="00F53F73">
              <w:rPr>
                <w:b/>
              </w:rPr>
              <w:t>СРД</w:t>
            </w:r>
            <w:r w:rsidRPr="00EA6D35">
              <w:t>. При подаче заявки в электронном виде физическое лицо подписывает электронный документ простой электронной подписью</w:t>
            </w:r>
            <w:r w:rsidRPr="000A6AA7">
              <w:t>.</w:t>
            </w:r>
          </w:p>
        </w:tc>
      </w:tr>
      <w:tr w:rsidR="00153C66" w:rsidRPr="0039614A" w14:paraId="4D516E60" w14:textId="77777777" w:rsidTr="00135182">
        <w:trPr>
          <w:trHeight w:val="1127"/>
        </w:trPr>
        <w:tc>
          <w:tcPr>
            <w:tcW w:w="4959" w:type="dxa"/>
          </w:tcPr>
          <w:p w14:paraId="78A56DCF" w14:textId="77777777" w:rsidR="00153C66" w:rsidRDefault="00F910F5" w:rsidP="00153C66">
            <w:pPr>
              <w:autoSpaceDE w:val="0"/>
              <w:autoSpaceDN w:val="0"/>
              <w:adjustRightInd w:val="0"/>
              <w:ind w:firstLine="567"/>
              <w:jc w:val="both"/>
              <w:rPr>
                <w:sz w:val="22"/>
                <w:szCs w:val="22"/>
              </w:rPr>
            </w:pPr>
            <w:r>
              <w:rPr>
                <w:sz w:val="22"/>
                <w:szCs w:val="22"/>
              </w:rPr>
              <w:t>Абзац 2 пункта 87(1) Правил</w:t>
            </w:r>
          </w:p>
          <w:p w14:paraId="5C688EA8" w14:textId="20423A60" w:rsidR="00F910F5" w:rsidRDefault="00F910F5" w:rsidP="00153C66">
            <w:pPr>
              <w:autoSpaceDE w:val="0"/>
              <w:autoSpaceDN w:val="0"/>
              <w:adjustRightInd w:val="0"/>
              <w:ind w:firstLine="567"/>
              <w:jc w:val="both"/>
              <w:rPr>
                <w:sz w:val="22"/>
                <w:szCs w:val="22"/>
              </w:rPr>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F53F73">
              <w:rPr>
                <w:b/>
              </w:rPr>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tc>
        <w:tc>
          <w:tcPr>
            <w:tcW w:w="4959" w:type="dxa"/>
          </w:tcPr>
          <w:p w14:paraId="7D60D773" w14:textId="77777777" w:rsidR="00153C66" w:rsidRDefault="009E5CD8" w:rsidP="00153C66">
            <w:pPr>
              <w:autoSpaceDE w:val="0"/>
              <w:autoSpaceDN w:val="0"/>
              <w:adjustRightInd w:val="0"/>
              <w:ind w:firstLine="567"/>
              <w:jc w:val="both"/>
              <w:rPr>
                <w:sz w:val="22"/>
                <w:szCs w:val="22"/>
              </w:rPr>
            </w:pPr>
            <w:r>
              <w:rPr>
                <w:sz w:val="22"/>
                <w:szCs w:val="22"/>
              </w:rPr>
              <w:t>Абзац 2 пункта 87(1) Правил</w:t>
            </w:r>
          </w:p>
          <w:p w14:paraId="32359993" w14:textId="35764200" w:rsidR="009E5CD8" w:rsidRDefault="009E5CD8" w:rsidP="009E5CD8">
            <w:pPr>
              <w:autoSpaceDE w:val="0"/>
              <w:autoSpaceDN w:val="0"/>
              <w:adjustRightInd w:val="0"/>
              <w:ind w:firstLine="571"/>
              <w:jc w:val="both"/>
              <w:rPr>
                <w:sz w:val="22"/>
                <w:szCs w:val="22"/>
              </w:rPr>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bookmarkStart w:id="0" w:name="_GoBack"/>
            <w:bookmarkEnd w:id="0"/>
            <w:r>
              <w:t>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tc>
      </w:tr>
    </w:tbl>
    <w:p w14:paraId="5A91EB0F" w14:textId="77777777" w:rsidR="0039318D" w:rsidRDefault="0039318D" w:rsidP="000860DA"/>
    <w:p w14:paraId="209AB99C" w14:textId="77777777" w:rsidR="008E2215" w:rsidRPr="00674E7F" w:rsidRDefault="008E2215" w:rsidP="000860DA"/>
    <w:p w14:paraId="2AF38B19" w14:textId="77777777" w:rsidR="003E7EF8" w:rsidRDefault="003E7EF8" w:rsidP="003E7EF8">
      <w:r>
        <w:t xml:space="preserve">Генеральный директор  </w:t>
      </w:r>
    </w:p>
    <w:p w14:paraId="3A0AF136" w14:textId="77777777" w:rsidR="008E2215" w:rsidRDefault="003E7EF8" w:rsidP="003E7EF8">
      <w:r>
        <w:t>ООО «</w:t>
      </w:r>
      <w:r w:rsidR="00135182">
        <w:t>УК «А-</w:t>
      </w:r>
      <w:r>
        <w:t xml:space="preserve">Капитал»                                       </w:t>
      </w:r>
      <w:r>
        <w:rPr>
          <w:u w:val="single"/>
        </w:rPr>
        <w:t xml:space="preserve">                                         </w:t>
      </w:r>
      <w:r>
        <w:t xml:space="preserve">   Д.В. Шагардин          </w:t>
      </w:r>
    </w:p>
    <w:p w14:paraId="003E2020" w14:textId="77777777" w:rsidR="008E2215" w:rsidRDefault="008E2215" w:rsidP="003E7EF8"/>
    <w:p w14:paraId="7B0D3BAE" w14:textId="77777777" w:rsidR="008E2215" w:rsidRDefault="008E2215" w:rsidP="00412EC0">
      <w:pPr>
        <w:pStyle w:val="fieldcomment"/>
        <w:rPr>
          <w:sz w:val="12"/>
          <w:szCs w:val="12"/>
          <w:lang w:val="ru-RU"/>
        </w:rPr>
      </w:pPr>
    </w:p>
    <w:p w14:paraId="45B78111" w14:textId="77777777" w:rsidR="008E2215" w:rsidRDefault="008E2215" w:rsidP="008E2215">
      <w:pPr>
        <w:pStyle w:val="fieldcomment"/>
        <w:jc w:val="right"/>
        <w:rPr>
          <w:sz w:val="12"/>
          <w:szCs w:val="12"/>
          <w:lang w:val="ru-RU"/>
        </w:rPr>
      </w:pPr>
    </w:p>
    <w:p w14:paraId="1F0C7389" w14:textId="59E24B82" w:rsidR="00E31508" w:rsidRPr="00FC11D2" w:rsidRDefault="00472446" w:rsidP="00412EC0">
      <w:pPr>
        <w:pStyle w:val="fieldcomment"/>
        <w:spacing w:before="0" w:after="0"/>
        <w:rPr>
          <w:lang w:val="ru-RU"/>
        </w:rPr>
      </w:pPr>
      <w:r w:rsidRPr="00FC11D2">
        <w:rPr>
          <w:lang w:val="ru-RU"/>
        </w:rPr>
        <w:t xml:space="preserve"> </w:t>
      </w:r>
    </w:p>
    <w:sectPr w:rsidR="00E31508" w:rsidRPr="00FC11D2" w:rsidSect="004336D1">
      <w:headerReference w:type="default" r:id="rId14"/>
      <w:footerReference w:type="default" r:id="rId15"/>
      <w:pgSz w:w="11906" w:h="16838"/>
      <w:pgMar w:top="568" w:right="707" w:bottom="709" w:left="1418"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F17D" w14:textId="77777777" w:rsidR="00C72C2C" w:rsidRDefault="00C72C2C" w:rsidP="002524B9">
      <w:r>
        <w:separator/>
      </w:r>
    </w:p>
  </w:endnote>
  <w:endnote w:type="continuationSeparator" w:id="0">
    <w:p w14:paraId="340AA0B9" w14:textId="77777777" w:rsidR="00C72C2C" w:rsidRDefault="00C72C2C" w:rsidP="002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7024" w14:textId="77777777" w:rsidR="002524B9" w:rsidRDefault="002524B9">
    <w:pPr>
      <w:pStyle w:val="aa"/>
      <w:jc w:val="right"/>
    </w:pPr>
  </w:p>
  <w:p w14:paraId="07D40793" w14:textId="77777777" w:rsidR="002524B9" w:rsidRDefault="0025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361B2" w14:textId="77777777" w:rsidR="00C72C2C" w:rsidRDefault="00C72C2C" w:rsidP="002524B9">
      <w:r>
        <w:separator/>
      </w:r>
    </w:p>
  </w:footnote>
  <w:footnote w:type="continuationSeparator" w:id="0">
    <w:p w14:paraId="087355A6" w14:textId="77777777" w:rsidR="00C72C2C" w:rsidRDefault="00C72C2C" w:rsidP="002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8EAE" w14:textId="55DB53F1" w:rsidR="004336D1" w:rsidRDefault="00B0734D" w:rsidP="004336D1">
    <w:pPr>
      <w:pStyle w:val="a8"/>
      <w:spacing w:after="120"/>
      <w:jc w:val="center"/>
    </w:pPr>
    <w:r>
      <w:fldChar w:fldCharType="begin"/>
    </w:r>
    <w:r w:rsidR="0019598D">
      <w:instrText>PAGE   \* MERGEFORMAT</w:instrText>
    </w:r>
    <w:r>
      <w:fldChar w:fldCharType="separate"/>
    </w:r>
    <w:r w:rsidR="00F53F73">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BE53C8"/>
    <w:multiLevelType w:val="hybridMultilevel"/>
    <w:tmpl w:val="BF661C9A"/>
    <w:lvl w:ilvl="0" w:tplc="A8AA256C">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EB"/>
    <w:rsid w:val="000005AB"/>
    <w:rsid w:val="00004D8D"/>
    <w:rsid w:val="000114EC"/>
    <w:rsid w:val="00015E5A"/>
    <w:rsid w:val="00022D60"/>
    <w:rsid w:val="00037BAA"/>
    <w:rsid w:val="000452EF"/>
    <w:rsid w:val="000463B3"/>
    <w:rsid w:val="0005428D"/>
    <w:rsid w:val="00056B90"/>
    <w:rsid w:val="00067AF9"/>
    <w:rsid w:val="00073C46"/>
    <w:rsid w:val="00077D56"/>
    <w:rsid w:val="00081AED"/>
    <w:rsid w:val="000860DA"/>
    <w:rsid w:val="000A10B8"/>
    <w:rsid w:val="000A4E50"/>
    <w:rsid w:val="000B34E5"/>
    <w:rsid w:val="000B7D62"/>
    <w:rsid w:val="000C145B"/>
    <w:rsid w:val="000C2362"/>
    <w:rsid w:val="000C29D3"/>
    <w:rsid w:val="000C5F00"/>
    <w:rsid w:val="000D4A90"/>
    <w:rsid w:val="000D59BC"/>
    <w:rsid w:val="000F273D"/>
    <w:rsid w:val="000F39D2"/>
    <w:rsid w:val="00114DE1"/>
    <w:rsid w:val="00135182"/>
    <w:rsid w:val="00136193"/>
    <w:rsid w:val="00143C34"/>
    <w:rsid w:val="00153C66"/>
    <w:rsid w:val="00155200"/>
    <w:rsid w:val="00165A90"/>
    <w:rsid w:val="0016751C"/>
    <w:rsid w:val="00174AB7"/>
    <w:rsid w:val="001943EC"/>
    <w:rsid w:val="0019598D"/>
    <w:rsid w:val="001A73C8"/>
    <w:rsid w:val="001B1D44"/>
    <w:rsid w:val="001C4AAE"/>
    <w:rsid w:val="001C4B16"/>
    <w:rsid w:val="001D109D"/>
    <w:rsid w:val="001D5126"/>
    <w:rsid w:val="001D5223"/>
    <w:rsid w:val="001E37A5"/>
    <w:rsid w:val="001E5234"/>
    <w:rsid w:val="001E68CD"/>
    <w:rsid w:val="001F396B"/>
    <w:rsid w:val="001F5908"/>
    <w:rsid w:val="0020223D"/>
    <w:rsid w:val="00206A55"/>
    <w:rsid w:val="00214F65"/>
    <w:rsid w:val="002241C7"/>
    <w:rsid w:val="00224FE2"/>
    <w:rsid w:val="002475C5"/>
    <w:rsid w:val="00247B32"/>
    <w:rsid w:val="002524B9"/>
    <w:rsid w:val="0025258A"/>
    <w:rsid w:val="00252D45"/>
    <w:rsid w:val="00277D12"/>
    <w:rsid w:val="00282722"/>
    <w:rsid w:val="00292A3A"/>
    <w:rsid w:val="002A0F13"/>
    <w:rsid w:val="002A76C9"/>
    <w:rsid w:val="002B08CD"/>
    <w:rsid w:val="002B5195"/>
    <w:rsid w:val="002B56BA"/>
    <w:rsid w:val="002C266D"/>
    <w:rsid w:val="002C2AE6"/>
    <w:rsid w:val="002D2941"/>
    <w:rsid w:val="002E2543"/>
    <w:rsid w:val="002E44A8"/>
    <w:rsid w:val="002F3592"/>
    <w:rsid w:val="002F505E"/>
    <w:rsid w:val="00302CC5"/>
    <w:rsid w:val="0030690D"/>
    <w:rsid w:val="00310107"/>
    <w:rsid w:val="00320961"/>
    <w:rsid w:val="00325948"/>
    <w:rsid w:val="00326732"/>
    <w:rsid w:val="00331E5D"/>
    <w:rsid w:val="003416CE"/>
    <w:rsid w:val="003457F7"/>
    <w:rsid w:val="003544FD"/>
    <w:rsid w:val="003570EB"/>
    <w:rsid w:val="0037106A"/>
    <w:rsid w:val="003761A6"/>
    <w:rsid w:val="0039318D"/>
    <w:rsid w:val="0039614A"/>
    <w:rsid w:val="003A7665"/>
    <w:rsid w:val="003A7AE6"/>
    <w:rsid w:val="003C2F4D"/>
    <w:rsid w:val="003D542F"/>
    <w:rsid w:val="003E7EF8"/>
    <w:rsid w:val="003F5521"/>
    <w:rsid w:val="00402742"/>
    <w:rsid w:val="00406509"/>
    <w:rsid w:val="00411357"/>
    <w:rsid w:val="00412EC0"/>
    <w:rsid w:val="004336D1"/>
    <w:rsid w:val="00434318"/>
    <w:rsid w:val="00465939"/>
    <w:rsid w:val="00471075"/>
    <w:rsid w:val="00472446"/>
    <w:rsid w:val="0048290E"/>
    <w:rsid w:val="00486837"/>
    <w:rsid w:val="004A4CD6"/>
    <w:rsid w:val="004B291C"/>
    <w:rsid w:val="004B374D"/>
    <w:rsid w:val="004C1DBD"/>
    <w:rsid w:val="004D7666"/>
    <w:rsid w:val="004E5390"/>
    <w:rsid w:val="004F2520"/>
    <w:rsid w:val="00505B1B"/>
    <w:rsid w:val="00527C1D"/>
    <w:rsid w:val="005343F0"/>
    <w:rsid w:val="00534E98"/>
    <w:rsid w:val="0054305E"/>
    <w:rsid w:val="00556C27"/>
    <w:rsid w:val="0058075A"/>
    <w:rsid w:val="005938DA"/>
    <w:rsid w:val="0059435E"/>
    <w:rsid w:val="00597762"/>
    <w:rsid w:val="00597C0C"/>
    <w:rsid w:val="005A3726"/>
    <w:rsid w:val="005C062C"/>
    <w:rsid w:val="005C267D"/>
    <w:rsid w:val="005D5CA2"/>
    <w:rsid w:val="005E43F9"/>
    <w:rsid w:val="005F6DD5"/>
    <w:rsid w:val="00615A90"/>
    <w:rsid w:val="00616F8B"/>
    <w:rsid w:val="00636D1E"/>
    <w:rsid w:val="00642913"/>
    <w:rsid w:val="006453BD"/>
    <w:rsid w:val="00653E29"/>
    <w:rsid w:val="0065640B"/>
    <w:rsid w:val="00662B57"/>
    <w:rsid w:val="00664A66"/>
    <w:rsid w:val="0067487B"/>
    <w:rsid w:val="00674E7F"/>
    <w:rsid w:val="006775F7"/>
    <w:rsid w:val="0068037A"/>
    <w:rsid w:val="00681DBD"/>
    <w:rsid w:val="00684EA7"/>
    <w:rsid w:val="00692029"/>
    <w:rsid w:val="006A0A6E"/>
    <w:rsid w:val="006B64F2"/>
    <w:rsid w:val="006B7876"/>
    <w:rsid w:val="006B7EF7"/>
    <w:rsid w:val="006C4005"/>
    <w:rsid w:val="006C4F3B"/>
    <w:rsid w:val="006C7B0C"/>
    <w:rsid w:val="006D1824"/>
    <w:rsid w:val="006D195D"/>
    <w:rsid w:val="006D62D7"/>
    <w:rsid w:val="006D6C19"/>
    <w:rsid w:val="006E1321"/>
    <w:rsid w:val="006E73B1"/>
    <w:rsid w:val="006F12CD"/>
    <w:rsid w:val="006F4E0C"/>
    <w:rsid w:val="006F569A"/>
    <w:rsid w:val="00703C16"/>
    <w:rsid w:val="007065B5"/>
    <w:rsid w:val="00723A7D"/>
    <w:rsid w:val="00726950"/>
    <w:rsid w:val="00751358"/>
    <w:rsid w:val="00756F45"/>
    <w:rsid w:val="00765366"/>
    <w:rsid w:val="00765E08"/>
    <w:rsid w:val="00776191"/>
    <w:rsid w:val="0078315C"/>
    <w:rsid w:val="007845DB"/>
    <w:rsid w:val="00792378"/>
    <w:rsid w:val="007946BF"/>
    <w:rsid w:val="00797582"/>
    <w:rsid w:val="007A469E"/>
    <w:rsid w:val="007B4327"/>
    <w:rsid w:val="007B678B"/>
    <w:rsid w:val="007C2092"/>
    <w:rsid w:val="007C3763"/>
    <w:rsid w:val="007F0B49"/>
    <w:rsid w:val="007F4884"/>
    <w:rsid w:val="007F7AD9"/>
    <w:rsid w:val="0080467F"/>
    <w:rsid w:val="0081230A"/>
    <w:rsid w:val="00823856"/>
    <w:rsid w:val="00825F25"/>
    <w:rsid w:val="00833E7C"/>
    <w:rsid w:val="0084186D"/>
    <w:rsid w:val="0084217A"/>
    <w:rsid w:val="00844168"/>
    <w:rsid w:val="00846C97"/>
    <w:rsid w:val="00847560"/>
    <w:rsid w:val="008516CB"/>
    <w:rsid w:val="00853245"/>
    <w:rsid w:val="00872E7A"/>
    <w:rsid w:val="00881E87"/>
    <w:rsid w:val="00886A64"/>
    <w:rsid w:val="00893C30"/>
    <w:rsid w:val="00897A2F"/>
    <w:rsid w:val="008B35D9"/>
    <w:rsid w:val="008B706A"/>
    <w:rsid w:val="008C6D0A"/>
    <w:rsid w:val="008D5A18"/>
    <w:rsid w:val="008E2215"/>
    <w:rsid w:val="008E27E5"/>
    <w:rsid w:val="008E5069"/>
    <w:rsid w:val="008F061F"/>
    <w:rsid w:val="008F2F3B"/>
    <w:rsid w:val="008F3EFA"/>
    <w:rsid w:val="009030D6"/>
    <w:rsid w:val="009039AA"/>
    <w:rsid w:val="00913299"/>
    <w:rsid w:val="009349FC"/>
    <w:rsid w:val="009511E7"/>
    <w:rsid w:val="009667FA"/>
    <w:rsid w:val="00970052"/>
    <w:rsid w:val="009853B2"/>
    <w:rsid w:val="009917CB"/>
    <w:rsid w:val="009B17EA"/>
    <w:rsid w:val="009B5689"/>
    <w:rsid w:val="009B6E7A"/>
    <w:rsid w:val="009C1C8B"/>
    <w:rsid w:val="009C4F43"/>
    <w:rsid w:val="009C776B"/>
    <w:rsid w:val="009D061E"/>
    <w:rsid w:val="009D55D3"/>
    <w:rsid w:val="009D5739"/>
    <w:rsid w:val="009E5CD8"/>
    <w:rsid w:val="009F1D8E"/>
    <w:rsid w:val="009F4278"/>
    <w:rsid w:val="009F42F6"/>
    <w:rsid w:val="00A0578D"/>
    <w:rsid w:val="00A06199"/>
    <w:rsid w:val="00A07717"/>
    <w:rsid w:val="00A1089A"/>
    <w:rsid w:val="00A12780"/>
    <w:rsid w:val="00A230D8"/>
    <w:rsid w:val="00A444C9"/>
    <w:rsid w:val="00A5480F"/>
    <w:rsid w:val="00A63022"/>
    <w:rsid w:val="00A638FE"/>
    <w:rsid w:val="00A644C9"/>
    <w:rsid w:val="00A71F47"/>
    <w:rsid w:val="00A736DB"/>
    <w:rsid w:val="00A74687"/>
    <w:rsid w:val="00A76D3F"/>
    <w:rsid w:val="00A81C12"/>
    <w:rsid w:val="00A83112"/>
    <w:rsid w:val="00A92F71"/>
    <w:rsid w:val="00A96243"/>
    <w:rsid w:val="00AA034F"/>
    <w:rsid w:val="00AA3C96"/>
    <w:rsid w:val="00AB4A9F"/>
    <w:rsid w:val="00AB750F"/>
    <w:rsid w:val="00AC5D2A"/>
    <w:rsid w:val="00AE140E"/>
    <w:rsid w:val="00AF0244"/>
    <w:rsid w:val="00AF1A61"/>
    <w:rsid w:val="00B00AFB"/>
    <w:rsid w:val="00B00D04"/>
    <w:rsid w:val="00B021B4"/>
    <w:rsid w:val="00B0734D"/>
    <w:rsid w:val="00B155CF"/>
    <w:rsid w:val="00B156A3"/>
    <w:rsid w:val="00B20392"/>
    <w:rsid w:val="00B55307"/>
    <w:rsid w:val="00B63F9A"/>
    <w:rsid w:val="00B71831"/>
    <w:rsid w:val="00B9283B"/>
    <w:rsid w:val="00B9462F"/>
    <w:rsid w:val="00B95F74"/>
    <w:rsid w:val="00BB0D76"/>
    <w:rsid w:val="00BC278E"/>
    <w:rsid w:val="00BD3D2E"/>
    <w:rsid w:val="00BD4E6F"/>
    <w:rsid w:val="00BD59A3"/>
    <w:rsid w:val="00C14511"/>
    <w:rsid w:val="00C331F6"/>
    <w:rsid w:val="00C33848"/>
    <w:rsid w:val="00C4086A"/>
    <w:rsid w:val="00C41C62"/>
    <w:rsid w:val="00C56C8B"/>
    <w:rsid w:val="00C72C2C"/>
    <w:rsid w:val="00C97A56"/>
    <w:rsid w:val="00CB24AB"/>
    <w:rsid w:val="00CC03BC"/>
    <w:rsid w:val="00CC0856"/>
    <w:rsid w:val="00CC3B10"/>
    <w:rsid w:val="00CD19A6"/>
    <w:rsid w:val="00CE0F06"/>
    <w:rsid w:val="00CE111E"/>
    <w:rsid w:val="00CE2749"/>
    <w:rsid w:val="00CE5ED0"/>
    <w:rsid w:val="00CF3408"/>
    <w:rsid w:val="00CF78D9"/>
    <w:rsid w:val="00D01C8A"/>
    <w:rsid w:val="00D17E5C"/>
    <w:rsid w:val="00D201F0"/>
    <w:rsid w:val="00D2480A"/>
    <w:rsid w:val="00D31A1A"/>
    <w:rsid w:val="00D35A2C"/>
    <w:rsid w:val="00D405DD"/>
    <w:rsid w:val="00D46C4C"/>
    <w:rsid w:val="00D50806"/>
    <w:rsid w:val="00D640C4"/>
    <w:rsid w:val="00D7516D"/>
    <w:rsid w:val="00D768C1"/>
    <w:rsid w:val="00D81DAA"/>
    <w:rsid w:val="00D84E72"/>
    <w:rsid w:val="00D85FB0"/>
    <w:rsid w:val="00D87524"/>
    <w:rsid w:val="00D87D8F"/>
    <w:rsid w:val="00D91595"/>
    <w:rsid w:val="00D95AA0"/>
    <w:rsid w:val="00D97383"/>
    <w:rsid w:val="00DA37CB"/>
    <w:rsid w:val="00DA7EA2"/>
    <w:rsid w:val="00DB5B57"/>
    <w:rsid w:val="00DC07FA"/>
    <w:rsid w:val="00DC60EC"/>
    <w:rsid w:val="00DD4617"/>
    <w:rsid w:val="00DD6801"/>
    <w:rsid w:val="00DF02C0"/>
    <w:rsid w:val="00E04A3E"/>
    <w:rsid w:val="00E05106"/>
    <w:rsid w:val="00E05A74"/>
    <w:rsid w:val="00E05C78"/>
    <w:rsid w:val="00E13C07"/>
    <w:rsid w:val="00E2271F"/>
    <w:rsid w:val="00E266E9"/>
    <w:rsid w:val="00E2674D"/>
    <w:rsid w:val="00E306D4"/>
    <w:rsid w:val="00E31508"/>
    <w:rsid w:val="00E54E00"/>
    <w:rsid w:val="00E62567"/>
    <w:rsid w:val="00E63EA7"/>
    <w:rsid w:val="00E742C2"/>
    <w:rsid w:val="00E75755"/>
    <w:rsid w:val="00E75AA8"/>
    <w:rsid w:val="00E9237F"/>
    <w:rsid w:val="00E93822"/>
    <w:rsid w:val="00EA5F10"/>
    <w:rsid w:val="00EA631D"/>
    <w:rsid w:val="00EB3DD5"/>
    <w:rsid w:val="00ED5DE4"/>
    <w:rsid w:val="00EE0BEB"/>
    <w:rsid w:val="00EE20BB"/>
    <w:rsid w:val="00EE2997"/>
    <w:rsid w:val="00EE3489"/>
    <w:rsid w:val="00EF08F7"/>
    <w:rsid w:val="00EF7364"/>
    <w:rsid w:val="00F06060"/>
    <w:rsid w:val="00F07A4C"/>
    <w:rsid w:val="00F11205"/>
    <w:rsid w:val="00F20EDA"/>
    <w:rsid w:val="00F2416F"/>
    <w:rsid w:val="00F34DFB"/>
    <w:rsid w:val="00F45BE3"/>
    <w:rsid w:val="00F46716"/>
    <w:rsid w:val="00F53F73"/>
    <w:rsid w:val="00F57AB8"/>
    <w:rsid w:val="00F62718"/>
    <w:rsid w:val="00F70011"/>
    <w:rsid w:val="00F81EFD"/>
    <w:rsid w:val="00F82DD6"/>
    <w:rsid w:val="00F86CE5"/>
    <w:rsid w:val="00F910F5"/>
    <w:rsid w:val="00F9419B"/>
    <w:rsid w:val="00FB503B"/>
    <w:rsid w:val="00FC11D2"/>
    <w:rsid w:val="00FC3FE6"/>
    <w:rsid w:val="00FC71FC"/>
    <w:rsid w:val="00FE384D"/>
    <w:rsid w:val="00FE556A"/>
    <w:rsid w:val="00FF735F"/>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571B2"/>
  <w15:docId w15:val="{76988DD3-4BE7-43D1-8A46-55F131F4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9D2"/>
    <w:pPr>
      <w:spacing w:after="0" w:line="240" w:lineRule="auto"/>
    </w:pPr>
    <w:rPr>
      <w:sz w:val="24"/>
      <w:szCs w:val="24"/>
    </w:rPr>
  </w:style>
  <w:style w:type="paragraph" w:styleId="1">
    <w:name w:val="heading 1"/>
    <w:basedOn w:val="a"/>
    <w:link w:val="10"/>
    <w:qFormat/>
    <w:locked/>
    <w:rsid w:val="008E2215"/>
    <w:pPr>
      <w:spacing w:before="375" w:after="375"/>
      <w:jc w:val="center"/>
      <w:outlineLvl w:val="0"/>
    </w:pPr>
    <w:rPr>
      <w:rFonts w:ascii="Arial" w:hAnsi="Arial" w:cs="Arial"/>
      <w:b/>
      <w:bCs/>
      <w:kern w:val="36"/>
      <w:lang w:val="en-US" w:eastAsia="en-US"/>
    </w:rPr>
  </w:style>
  <w:style w:type="paragraph" w:styleId="3">
    <w:name w:val="heading 3"/>
    <w:basedOn w:val="a"/>
    <w:link w:val="30"/>
    <w:qFormat/>
    <w:locked/>
    <w:rsid w:val="008E2215"/>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character" w:customStyle="1" w:styleId="a5">
    <w:name w:val="Заголовок Знак"/>
    <w:basedOn w:val="a0"/>
    <w:link w:val="a4"/>
    <w:uiPriority w:val="99"/>
    <w:locked/>
    <w:rsid w:val="006B64F2"/>
    <w:rPr>
      <w:rFonts w:ascii="Arial" w:hAnsi="Arial" w:cs="Arial"/>
      <w:sz w:val="24"/>
      <w:szCs w:val="24"/>
    </w:rPr>
  </w:style>
  <w:style w:type="paragraph" w:styleId="a6">
    <w:name w:val="Balloon Text"/>
    <w:basedOn w:val="a"/>
    <w:link w:val="a7"/>
    <w:uiPriority w:val="99"/>
    <w:rsid w:val="00A96243"/>
    <w:rPr>
      <w:rFonts w:ascii="Segoe UI" w:hAnsi="Segoe UI" w:cs="Segoe UI"/>
      <w:sz w:val="18"/>
      <w:szCs w:val="18"/>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rsid w:val="00D81DAA"/>
    <w:rPr>
      <w:sz w:val="20"/>
      <w:lang w:eastAsia="en-US"/>
    </w:rPr>
  </w:style>
  <w:style w:type="character" w:customStyle="1" w:styleId="ad">
    <w:name w:val="Текст сноски Знак"/>
    <w:basedOn w:val="a0"/>
    <w:link w:val="ac"/>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 w:type="paragraph" w:styleId="af">
    <w:name w:val="List Paragraph"/>
    <w:basedOn w:val="a"/>
    <w:uiPriority w:val="34"/>
    <w:qFormat/>
    <w:rsid w:val="003544FD"/>
    <w:pPr>
      <w:ind w:left="720"/>
      <w:contextualSpacing/>
    </w:pPr>
  </w:style>
  <w:style w:type="paragraph" w:styleId="af0">
    <w:name w:val="Body Text Indent"/>
    <w:basedOn w:val="a"/>
    <w:link w:val="af1"/>
    <w:uiPriority w:val="99"/>
    <w:rsid w:val="004336D1"/>
    <w:pPr>
      <w:spacing w:after="120"/>
      <w:ind w:left="283"/>
    </w:pPr>
    <w:rPr>
      <w:lang w:eastAsia="en-US"/>
    </w:rPr>
  </w:style>
  <w:style w:type="character" w:customStyle="1" w:styleId="af1">
    <w:name w:val="Основной текст с отступом Знак"/>
    <w:basedOn w:val="a0"/>
    <w:link w:val="af0"/>
    <w:uiPriority w:val="99"/>
    <w:rsid w:val="004336D1"/>
    <w:rPr>
      <w:sz w:val="24"/>
      <w:szCs w:val="24"/>
      <w:lang w:eastAsia="en-US"/>
    </w:rPr>
  </w:style>
  <w:style w:type="paragraph" w:styleId="af2">
    <w:name w:val="Body Text"/>
    <w:basedOn w:val="a"/>
    <w:link w:val="af3"/>
    <w:uiPriority w:val="99"/>
    <w:rsid w:val="00797582"/>
    <w:pPr>
      <w:spacing w:after="120"/>
    </w:pPr>
    <w:rPr>
      <w:lang w:eastAsia="en-US"/>
    </w:rPr>
  </w:style>
  <w:style w:type="character" w:customStyle="1" w:styleId="af3">
    <w:name w:val="Основной текст Знак"/>
    <w:basedOn w:val="a0"/>
    <w:link w:val="af2"/>
    <w:uiPriority w:val="99"/>
    <w:rsid w:val="00797582"/>
    <w:rPr>
      <w:sz w:val="24"/>
      <w:szCs w:val="24"/>
      <w:lang w:eastAsia="en-US"/>
    </w:rPr>
  </w:style>
  <w:style w:type="character" w:customStyle="1" w:styleId="10">
    <w:name w:val="Заголовок 1 Знак"/>
    <w:basedOn w:val="a0"/>
    <w:link w:val="1"/>
    <w:rsid w:val="008E2215"/>
    <w:rPr>
      <w:rFonts w:ascii="Arial" w:hAnsi="Arial" w:cs="Arial"/>
      <w:b/>
      <w:bCs/>
      <w:kern w:val="36"/>
      <w:sz w:val="24"/>
      <w:szCs w:val="24"/>
      <w:lang w:val="en-US" w:eastAsia="en-US"/>
    </w:rPr>
  </w:style>
  <w:style w:type="character" w:customStyle="1" w:styleId="30">
    <w:name w:val="Заголовок 3 Знак"/>
    <w:basedOn w:val="a0"/>
    <w:link w:val="3"/>
    <w:rsid w:val="008E2215"/>
    <w:rPr>
      <w:rFonts w:ascii="Arial" w:hAnsi="Arial" w:cs="Arial"/>
      <w:b/>
      <w:bCs/>
      <w:sz w:val="18"/>
      <w:szCs w:val="18"/>
      <w:shd w:val="clear" w:color="auto" w:fill="C0C0C0"/>
      <w:lang w:val="en-US" w:eastAsia="en-US"/>
    </w:rPr>
  </w:style>
  <w:style w:type="paragraph" w:styleId="af4">
    <w:name w:val="Normal (Web)"/>
    <w:basedOn w:val="a"/>
    <w:rsid w:val="008E2215"/>
    <w:pPr>
      <w:spacing w:before="45" w:after="45"/>
    </w:pPr>
    <w:rPr>
      <w:rFonts w:ascii="Arial" w:hAnsi="Arial" w:cs="Arial"/>
      <w:sz w:val="16"/>
      <w:szCs w:val="16"/>
      <w:lang w:val="en-US" w:eastAsia="en-US"/>
    </w:rPr>
  </w:style>
  <w:style w:type="paragraph" w:customStyle="1" w:styleId="fieldcomment">
    <w:name w:val="field_comment"/>
    <w:basedOn w:val="a"/>
    <w:rsid w:val="008E2215"/>
    <w:pPr>
      <w:spacing w:before="45" w:after="45"/>
    </w:pPr>
    <w:rPr>
      <w:rFonts w:ascii="Arial" w:hAnsi="Arial" w:cs="Arial"/>
      <w:sz w:val="9"/>
      <w:szCs w:val="9"/>
      <w:lang w:val="en-US" w:eastAsia="en-US"/>
    </w:rPr>
  </w:style>
  <w:style w:type="paragraph" w:customStyle="1" w:styleId="fieldname">
    <w:name w:val="field_name"/>
    <w:basedOn w:val="a"/>
    <w:rsid w:val="008E2215"/>
    <w:pPr>
      <w:spacing w:before="45" w:after="45"/>
      <w:jc w:val="right"/>
    </w:pPr>
    <w:rPr>
      <w:rFonts w:ascii="Arial" w:hAnsi="Arial" w:cs="Arial"/>
      <w:b/>
      <w:bCs/>
      <w:sz w:val="16"/>
      <w:szCs w:val="16"/>
      <w:lang w:val="en-US" w:eastAsia="en-US"/>
    </w:rPr>
  </w:style>
  <w:style w:type="paragraph" w:customStyle="1" w:styleId="signfield">
    <w:name w:val="sign_field"/>
    <w:basedOn w:val="a"/>
    <w:rsid w:val="008E2215"/>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8E2215"/>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8E2215"/>
    <w:pPr>
      <w:spacing w:before="45" w:after="45"/>
    </w:pPr>
    <w:rPr>
      <w:rFonts w:ascii="Arial" w:hAnsi="Arial" w:cs="Arial"/>
      <w:sz w:val="16"/>
      <w:szCs w:val="16"/>
      <w:lang w:val="en-US" w:eastAsia="en-US"/>
    </w:rPr>
  </w:style>
  <w:style w:type="character" w:customStyle="1" w:styleId="fieldcomment1">
    <w:name w:val="field_comment1"/>
    <w:basedOn w:val="a0"/>
    <w:rsid w:val="008E2215"/>
    <w:rPr>
      <w:rFonts w:cs="Times New Roman"/>
      <w:sz w:val="9"/>
      <w:szCs w:val="9"/>
    </w:rPr>
  </w:style>
  <w:style w:type="character" w:styleId="af5">
    <w:name w:val="footnote reference"/>
    <w:rsid w:val="008E2215"/>
    <w:rPr>
      <w:vertAlign w:val="superscript"/>
    </w:rPr>
  </w:style>
  <w:style w:type="character" w:styleId="af6">
    <w:name w:val="annotation reference"/>
    <w:basedOn w:val="a0"/>
    <w:uiPriority w:val="99"/>
    <w:rsid w:val="009E5CD8"/>
    <w:rPr>
      <w:rFonts w:cs="Times New Roman"/>
      <w:sz w:val="16"/>
      <w:szCs w:val="16"/>
    </w:rPr>
  </w:style>
  <w:style w:type="paragraph" w:styleId="af7">
    <w:name w:val="annotation text"/>
    <w:basedOn w:val="a"/>
    <w:link w:val="af8"/>
    <w:uiPriority w:val="99"/>
    <w:rsid w:val="009E5CD8"/>
    <w:rPr>
      <w:sz w:val="20"/>
      <w:szCs w:val="20"/>
      <w:lang w:eastAsia="en-US"/>
    </w:rPr>
  </w:style>
  <w:style w:type="character" w:customStyle="1" w:styleId="af8">
    <w:name w:val="Текст примечания Знак"/>
    <w:basedOn w:val="a0"/>
    <w:link w:val="af7"/>
    <w:uiPriority w:val="99"/>
    <w:rsid w:val="009E5CD8"/>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8804">
      <w:marLeft w:val="0"/>
      <w:marRight w:val="0"/>
      <w:marTop w:val="0"/>
      <w:marBottom w:val="0"/>
      <w:divBdr>
        <w:top w:val="none" w:sz="0" w:space="0" w:color="auto"/>
        <w:left w:val="none" w:sz="0" w:space="0" w:color="auto"/>
        <w:bottom w:val="none" w:sz="0" w:space="0" w:color="auto"/>
        <w:right w:val="none" w:sz="0" w:space="0" w:color="auto"/>
      </w:divBdr>
    </w:div>
    <w:div w:id="289938805">
      <w:marLeft w:val="0"/>
      <w:marRight w:val="0"/>
      <w:marTop w:val="0"/>
      <w:marBottom w:val="0"/>
      <w:divBdr>
        <w:top w:val="none" w:sz="0" w:space="0" w:color="auto"/>
        <w:left w:val="none" w:sz="0" w:space="0" w:color="auto"/>
        <w:bottom w:val="none" w:sz="0" w:space="0" w:color="auto"/>
        <w:right w:val="none" w:sz="0" w:space="0" w:color="auto"/>
      </w:divBdr>
    </w:div>
    <w:div w:id="289938806">
      <w:marLeft w:val="0"/>
      <w:marRight w:val="0"/>
      <w:marTop w:val="0"/>
      <w:marBottom w:val="0"/>
      <w:divBdr>
        <w:top w:val="none" w:sz="0" w:space="0" w:color="auto"/>
        <w:left w:val="none" w:sz="0" w:space="0" w:color="auto"/>
        <w:bottom w:val="none" w:sz="0" w:space="0" w:color="auto"/>
        <w:right w:val="none" w:sz="0" w:space="0" w:color="auto"/>
      </w:divBdr>
    </w:div>
    <w:div w:id="289938807">
      <w:marLeft w:val="0"/>
      <w:marRight w:val="0"/>
      <w:marTop w:val="0"/>
      <w:marBottom w:val="0"/>
      <w:divBdr>
        <w:top w:val="none" w:sz="0" w:space="0" w:color="auto"/>
        <w:left w:val="none" w:sz="0" w:space="0" w:color="auto"/>
        <w:bottom w:val="none" w:sz="0" w:space="0" w:color="auto"/>
        <w:right w:val="none" w:sz="0" w:space="0" w:color="auto"/>
      </w:divBdr>
    </w:div>
    <w:div w:id="289938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B713E389FC7F6DE0D735A8AA494153A8EB5CB2DF684725564EB707D599424390A70367ACA0aCc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5928DA76C88CA3903200E18A622A6A8046AA522E19D9FA941822663E05B9F4FDED3B181186TAW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B713E389FC7F6DE0D735A8AA494153A8EB5CB2DF684725564EB707D599424390A70367ACA0aCc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consultantplus://offline/ref=5928DA76C88CA3903200E18A622A6A8046AA522E19D9FA941822663E05B9F4FDED3B181186TAW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CE60F-9544-4E0A-A258-84EB76D8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C413289-9608-4D1D-9D0A-E2037BD98471}">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3845D39D-5A1A-4DCA-8354-8445E643C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4675</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ЗАО "УК "Рацио-капитал"</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Артемьева Юлия Сергеевна</cp:lastModifiedBy>
  <cp:revision>10</cp:revision>
  <cp:lastPrinted>2021-06-15T12:57:00Z</cp:lastPrinted>
  <dcterms:created xsi:type="dcterms:W3CDTF">2024-07-15T12:50:00Z</dcterms:created>
  <dcterms:modified xsi:type="dcterms:W3CDTF">2025-01-22T10:49:00Z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